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drawings/drawing1.xml" ContentType="application/vnd.openxmlformats-officedocument.drawingml.chartshapes+xml"/>
  <Override PartName="/word/charts/chart4.xml" ContentType="application/vnd.openxmlformats-officedocument.drawingml.chart+xml"/>
  <Override PartName="/word/drawings/drawing2.xml" ContentType="application/vnd.openxmlformats-officedocument.drawingml.chartshapes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rawings/drawing3.xml" ContentType="application/vnd.openxmlformats-officedocument.drawingml.chartshapes+xml"/>
  <Override PartName="/word/charts/chart8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5F7A" w:rsidRPr="000E5F7A" w:rsidRDefault="00364B85" w:rsidP="000E5F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077719" w:rsidRPr="00077719">
        <w:rPr>
          <w:rFonts w:ascii="Times New Roman" w:hAnsi="Times New Roman" w:cs="Times New Roman"/>
          <w:b/>
          <w:sz w:val="28"/>
          <w:szCs w:val="28"/>
        </w:rPr>
        <w:t>наліз показників та індикаторів моніторингу та оцінки заходів протидії захворюванню на туберкульоз за І півріччя 2021 року</w:t>
      </w:r>
    </w:p>
    <w:p w:rsidR="00364B85" w:rsidRDefault="003A7DE1" w:rsidP="00364B85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За даними форми № 33 "Звіт про захворювання на активний ТБ" у І півріччі 20</w:t>
      </w:r>
      <w:r w:rsidR="00C62199" w:rsidRPr="00364B85">
        <w:rPr>
          <w:rFonts w:ascii="Times New Roman" w:hAnsi="Times New Roman" w:cs="Times New Roman"/>
          <w:sz w:val="28"/>
          <w:szCs w:val="28"/>
        </w:rPr>
        <w:t>2</w:t>
      </w:r>
      <w:r w:rsidR="008A6467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захворюваність на ТБ, що включає нові випадки та рецидиви, серед усього населенн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я Черкаської області становить </w:t>
      </w:r>
      <w:r w:rsidR="008A6467" w:rsidRPr="000C10F2">
        <w:rPr>
          <w:rFonts w:ascii="Times New Roman" w:hAnsi="Times New Roman" w:cs="Times New Roman"/>
          <w:b/>
          <w:sz w:val="28"/>
          <w:szCs w:val="28"/>
        </w:rPr>
        <w:t>19</w:t>
      </w:r>
      <w:r w:rsidRPr="000C10F2">
        <w:rPr>
          <w:rFonts w:ascii="Times New Roman" w:hAnsi="Times New Roman" w:cs="Times New Roman"/>
          <w:b/>
          <w:sz w:val="28"/>
          <w:szCs w:val="28"/>
        </w:rPr>
        <w:t>,</w:t>
      </w:r>
      <w:r w:rsidR="008A6467" w:rsidRPr="000C10F2">
        <w:rPr>
          <w:rFonts w:ascii="Times New Roman" w:hAnsi="Times New Roman" w:cs="Times New Roman"/>
          <w:b/>
          <w:sz w:val="28"/>
          <w:szCs w:val="28"/>
        </w:rPr>
        <w:t>6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44694B">
        <w:rPr>
          <w:rFonts w:ascii="Times New Roman" w:hAnsi="Times New Roman" w:cs="Times New Roman"/>
          <w:b/>
          <w:sz w:val="28"/>
          <w:szCs w:val="28"/>
        </w:rPr>
        <w:t>на 100 тис. населення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364B85">
        <w:rPr>
          <w:rFonts w:ascii="Times New Roman" w:hAnsi="Times New Roman" w:cs="Times New Roman"/>
          <w:sz w:val="28"/>
          <w:szCs w:val="28"/>
        </w:rPr>
        <w:br/>
      </w:r>
      <w:r w:rsidRPr="00364B85">
        <w:rPr>
          <w:rFonts w:ascii="Times New Roman" w:hAnsi="Times New Roman" w:cs="Times New Roman"/>
          <w:sz w:val="28"/>
          <w:szCs w:val="28"/>
        </w:rPr>
        <w:t>(І півр</w:t>
      </w:r>
      <w:r w:rsidR="000C10F2">
        <w:rPr>
          <w:rFonts w:ascii="Times New Roman" w:hAnsi="Times New Roman" w:cs="Times New Roman"/>
          <w:sz w:val="28"/>
          <w:szCs w:val="28"/>
        </w:rPr>
        <w:t>іччя</w:t>
      </w:r>
      <w:r w:rsidRPr="00364B85">
        <w:rPr>
          <w:rFonts w:ascii="Times New Roman" w:hAnsi="Times New Roman" w:cs="Times New Roman"/>
          <w:sz w:val="28"/>
          <w:szCs w:val="28"/>
        </w:rPr>
        <w:t xml:space="preserve"> 20</w:t>
      </w:r>
      <w:r w:rsidR="00C62199" w:rsidRPr="00364B85">
        <w:rPr>
          <w:rFonts w:ascii="Times New Roman" w:hAnsi="Times New Roman" w:cs="Times New Roman"/>
          <w:sz w:val="28"/>
          <w:szCs w:val="28"/>
        </w:rPr>
        <w:t xml:space="preserve">19 р. – 29,8, </w:t>
      </w:r>
      <w:r w:rsidR="008A6467" w:rsidRPr="00364B85">
        <w:rPr>
          <w:rFonts w:ascii="Times New Roman" w:hAnsi="Times New Roman" w:cs="Times New Roman"/>
          <w:sz w:val="28"/>
          <w:szCs w:val="28"/>
        </w:rPr>
        <w:t>І пів</w:t>
      </w:r>
      <w:r w:rsidR="00364B85">
        <w:rPr>
          <w:rFonts w:ascii="Times New Roman" w:hAnsi="Times New Roman" w:cs="Times New Roman"/>
          <w:sz w:val="28"/>
          <w:szCs w:val="28"/>
        </w:rPr>
        <w:t>р</w:t>
      </w:r>
      <w:r w:rsidR="000C10F2">
        <w:rPr>
          <w:rFonts w:ascii="Times New Roman" w:hAnsi="Times New Roman" w:cs="Times New Roman"/>
          <w:sz w:val="28"/>
          <w:szCs w:val="28"/>
        </w:rPr>
        <w:t>іччя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 2020 р. – 24,2, </w:t>
      </w:r>
      <w:r w:rsidR="00C62199" w:rsidRPr="00364B85">
        <w:rPr>
          <w:rFonts w:ascii="Times New Roman" w:hAnsi="Times New Roman" w:cs="Times New Roman"/>
          <w:sz w:val="28"/>
          <w:szCs w:val="28"/>
        </w:rPr>
        <w:t xml:space="preserve">Україна </w:t>
      </w:r>
      <w:r w:rsidR="00364B85">
        <w:rPr>
          <w:rFonts w:ascii="Times New Roman" w:hAnsi="Times New Roman" w:cs="Times New Roman"/>
          <w:sz w:val="28"/>
          <w:szCs w:val="28"/>
        </w:rPr>
        <w:t xml:space="preserve">– </w:t>
      </w:r>
      <w:r w:rsidR="00C62199" w:rsidRPr="00364B85">
        <w:rPr>
          <w:rFonts w:ascii="Times New Roman" w:hAnsi="Times New Roman" w:cs="Times New Roman"/>
          <w:sz w:val="28"/>
          <w:szCs w:val="28"/>
        </w:rPr>
        <w:t>І півріччя 202</w:t>
      </w:r>
      <w:r w:rsidR="008A6467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– </w:t>
      </w:r>
      <w:r w:rsidR="006B1F27" w:rsidRPr="00364B85">
        <w:rPr>
          <w:rFonts w:ascii="Times New Roman" w:hAnsi="Times New Roman" w:cs="Times New Roman"/>
          <w:sz w:val="28"/>
          <w:szCs w:val="28"/>
        </w:rPr>
        <w:t>2</w:t>
      </w:r>
      <w:r w:rsidR="008A6467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8A6467" w:rsidRPr="00364B85">
        <w:rPr>
          <w:rFonts w:ascii="Times New Roman" w:hAnsi="Times New Roman" w:cs="Times New Roman"/>
          <w:sz w:val="28"/>
          <w:szCs w:val="28"/>
        </w:rPr>
        <w:t>2</w:t>
      </w:r>
      <w:r w:rsidRPr="00364B85">
        <w:rPr>
          <w:rFonts w:ascii="Times New Roman" w:hAnsi="Times New Roman" w:cs="Times New Roman"/>
          <w:sz w:val="28"/>
          <w:szCs w:val="28"/>
        </w:rPr>
        <w:t>). Показник</w:t>
      </w:r>
      <w:r w:rsidR="006B1F27" w:rsidRPr="00364B85">
        <w:rPr>
          <w:rFonts w:ascii="Times New Roman" w:hAnsi="Times New Roman" w:cs="Times New Roman"/>
          <w:sz w:val="28"/>
          <w:szCs w:val="28"/>
        </w:rPr>
        <w:t xml:space="preserve"> захворюваності зменшився на 1</w:t>
      </w:r>
      <w:r w:rsidR="008A6467" w:rsidRPr="00364B85">
        <w:rPr>
          <w:rFonts w:ascii="Times New Roman" w:hAnsi="Times New Roman" w:cs="Times New Roman"/>
          <w:sz w:val="28"/>
          <w:szCs w:val="28"/>
        </w:rPr>
        <w:t>9</w:t>
      </w:r>
      <w:r w:rsidRPr="00364B85">
        <w:rPr>
          <w:rFonts w:ascii="Times New Roman" w:hAnsi="Times New Roman" w:cs="Times New Roman"/>
          <w:sz w:val="28"/>
          <w:szCs w:val="28"/>
        </w:rPr>
        <w:t>% порів</w:t>
      </w:r>
      <w:r w:rsidR="006B1F27" w:rsidRPr="00364B85">
        <w:rPr>
          <w:rFonts w:ascii="Times New Roman" w:hAnsi="Times New Roman" w:cs="Times New Roman"/>
          <w:sz w:val="28"/>
          <w:szCs w:val="28"/>
        </w:rPr>
        <w:t>няно з аналогічним періодом 20</w:t>
      </w:r>
      <w:r w:rsidR="008A6467" w:rsidRPr="00364B85">
        <w:rPr>
          <w:rFonts w:ascii="Times New Roman" w:hAnsi="Times New Roman" w:cs="Times New Roman"/>
          <w:sz w:val="28"/>
          <w:szCs w:val="28"/>
        </w:rPr>
        <w:t>20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3A7DE1" w:rsidRDefault="003A7DE1" w:rsidP="00364B85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 xml:space="preserve">У регіонах області спостерігається значне коливання захворюваності на ТБ (від </w:t>
      </w:r>
      <w:r w:rsidR="008A6467" w:rsidRPr="00364B85">
        <w:rPr>
          <w:rFonts w:ascii="Times New Roman" w:hAnsi="Times New Roman" w:cs="Times New Roman"/>
          <w:sz w:val="28"/>
          <w:szCs w:val="28"/>
        </w:rPr>
        <w:t>3</w:t>
      </w:r>
      <w:r w:rsidR="006B1F27" w:rsidRPr="00364B85">
        <w:rPr>
          <w:rFonts w:ascii="Times New Roman" w:hAnsi="Times New Roman" w:cs="Times New Roman"/>
          <w:sz w:val="28"/>
          <w:szCs w:val="28"/>
        </w:rPr>
        <w:t>,</w:t>
      </w:r>
      <w:r w:rsidR="008A6467" w:rsidRPr="00364B85">
        <w:rPr>
          <w:rFonts w:ascii="Times New Roman" w:hAnsi="Times New Roman" w:cs="Times New Roman"/>
          <w:sz w:val="28"/>
          <w:szCs w:val="28"/>
        </w:rPr>
        <w:t>9</w:t>
      </w:r>
      <w:r w:rsidR="009C0DC5" w:rsidRPr="00364B85">
        <w:rPr>
          <w:rFonts w:ascii="Times New Roman" w:hAnsi="Times New Roman" w:cs="Times New Roman"/>
          <w:sz w:val="28"/>
          <w:szCs w:val="28"/>
        </w:rPr>
        <w:t xml:space="preserve"> до </w:t>
      </w:r>
      <w:r w:rsidR="008A6467" w:rsidRPr="00364B85">
        <w:rPr>
          <w:rFonts w:ascii="Times New Roman" w:hAnsi="Times New Roman" w:cs="Times New Roman"/>
          <w:sz w:val="28"/>
          <w:szCs w:val="28"/>
        </w:rPr>
        <w:t>40,0</w:t>
      </w:r>
      <w:r w:rsidR="009C0DC5" w:rsidRPr="00364B85">
        <w:rPr>
          <w:rFonts w:ascii="Times New Roman" w:hAnsi="Times New Roman" w:cs="Times New Roman"/>
          <w:sz w:val="28"/>
          <w:szCs w:val="28"/>
        </w:rPr>
        <w:t xml:space="preserve"> на 100 тис. населення).</w:t>
      </w:r>
      <w:r w:rsidRPr="00364B85">
        <w:rPr>
          <w:rFonts w:ascii="Times New Roman" w:hAnsi="Times New Roman" w:cs="Times New Roman"/>
          <w:sz w:val="28"/>
          <w:szCs w:val="28"/>
        </w:rPr>
        <w:t xml:space="preserve"> Найвищі показники захворюваності ТБ зареєстровані у </w:t>
      </w:r>
      <w:r w:rsidR="008A6467" w:rsidRPr="00364B85">
        <w:rPr>
          <w:rFonts w:ascii="Times New Roman" w:hAnsi="Times New Roman" w:cs="Times New Roman"/>
          <w:sz w:val="28"/>
          <w:szCs w:val="28"/>
        </w:rPr>
        <w:t>Канівськ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 (40,0</w:t>
      </w:r>
      <w:r w:rsidRPr="00364B8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8A6467" w:rsidRPr="00364B85">
        <w:rPr>
          <w:rFonts w:ascii="Times New Roman" w:hAnsi="Times New Roman" w:cs="Times New Roman"/>
          <w:sz w:val="28"/>
          <w:szCs w:val="28"/>
        </w:rPr>
        <w:t>Городищенськ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A6467" w:rsidRPr="00364B85">
        <w:rPr>
          <w:rFonts w:ascii="Times New Roman" w:hAnsi="Times New Roman" w:cs="Times New Roman"/>
          <w:sz w:val="28"/>
          <w:szCs w:val="28"/>
        </w:rPr>
        <w:t xml:space="preserve"> (33,9), </w:t>
      </w:r>
      <w:proofErr w:type="spellStart"/>
      <w:r w:rsidR="008A6467" w:rsidRPr="00364B85">
        <w:rPr>
          <w:rFonts w:ascii="Times New Roman" w:hAnsi="Times New Roman" w:cs="Times New Roman"/>
          <w:sz w:val="28"/>
          <w:szCs w:val="28"/>
        </w:rPr>
        <w:t>Драбівськ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A6467" w:rsidRPr="00364B85">
        <w:rPr>
          <w:rFonts w:ascii="Times New Roman" w:hAnsi="Times New Roman" w:cs="Times New Roman"/>
          <w:sz w:val="28"/>
          <w:szCs w:val="28"/>
        </w:rPr>
        <w:t xml:space="preserve"> (</w:t>
      </w:r>
      <w:r w:rsidR="00426DD9" w:rsidRPr="00364B85">
        <w:rPr>
          <w:rFonts w:ascii="Times New Roman" w:hAnsi="Times New Roman" w:cs="Times New Roman"/>
          <w:sz w:val="28"/>
          <w:szCs w:val="28"/>
        </w:rPr>
        <w:t>30</w:t>
      </w:r>
      <w:r w:rsidR="008A6467" w:rsidRPr="00364B85">
        <w:rPr>
          <w:rFonts w:ascii="Times New Roman" w:hAnsi="Times New Roman" w:cs="Times New Roman"/>
          <w:sz w:val="28"/>
          <w:szCs w:val="28"/>
        </w:rPr>
        <w:t>,</w:t>
      </w:r>
      <w:r w:rsidR="00426DD9" w:rsidRPr="00364B85">
        <w:rPr>
          <w:rFonts w:ascii="Times New Roman" w:hAnsi="Times New Roman" w:cs="Times New Roman"/>
          <w:sz w:val="28"/>
          <w:szCs w:val="28"/>
        </w:rPr>
        <w:t>2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8A6467" w:rsidRPr="00364B85">
        <w:rPr>
          <w:rFonts w:ascii="Times New Roman" w:hAnsi="Times New Roman" w:cs="Times New Roman"/>
          <w:sz w:val="28"/>
          <w:szCs w:val="28"/>
        </w:rPr>
        <w:t>Христинівськ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A6467" w:rsidRPr="00364B85">
        <w:rPr>
          <w:rFonts w:ascii="Times New Roman" w:hAnsi="Times New Roman" w:cs="Times New Roman"/>
          <w:sz w:val="28"/>
          <w:szCs w:val="28"/>
        </w:rPr>
        <w:t xml:space="preserve"> (2</w:t>
      </w:r>
      <w:r w:rsidR="00677927" w:rsidRPr="00364B85">
        <w:rPr>
          <w:rFonts w:ascii="Times New Roman" w:hAnsi="Times New Roman" w:cs="Times New Roman"/>
          <w:sz w:val="28"/>
          <w:szCs w:val="28"/>
        </w:rPr>
        <w:t>6</w:t>
      </w:r>
      <w:r w:rsidR="008A6467" w:rsidRPr="00364B85">
        <w:rPr>
          <w:rFonts w:ascii="Times New Roman" w:hAnsi="Times New Roman" w:cs="Times New Roman"/>
          <w:sz w:val="28"/>
          <w:szCs w:val="28"/>
        </w:rPr>
        <w:t>,7),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Звенигородськ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(26,1), Смілянськ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(25,4),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A6467" w:rsidRPr="00364B85">
        <w:rPr>
          <w:rFonts w:ascii="Times New Roman" w:hAnsi="Times New Roman" w:cs="Times New Roman"/>
          <w:sz w:val="28"/>
          <w:szCs w:val="28"/>
        </w:rPr>
        <w:t>Тальнівськ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A6467"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677927" w:rsidRPr="00364B85">
        <w:rPr>
          <w:rFonts w:ascii="Times New Roman" w:hAnsi="Times New Roman" w:cs="Times New Roman"/>
          <w:sz w:val="28"/>
          <w:szCs w:val="28"/>
        </w:rPr>
        <w:t>(25,0)</w:t>
      </w:r>
      <w:r w:rsidR="008A6467" w:rsidRPr="00364B85">
        <w:rPr>
          <w:rFonts w:ascii="Times New Roman" w:hAnsi="Times New Roman" w:cs="Times New Roman"/>
          <w:sz w:val="28"/>
          <w:szCs w:val="28"/>
        </w:rPr>
        <w:t>, Черкаськ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8A6467" w:rsidRPr="00364B85">
        <w:rPr>
          <w:rFonts w:ascii="Times New Roman" w:hAnsi="Times New Roman" w:cs="Times New Roman"/>
          <w:sz w:val="28"/>
          <w:szCs w:val="28"/>
        </w:rPr>
        <w:t xml:space="preserve"> (2</w:t>
      </w:r>
      <w:r w:rsidR="00677927" w:rsidRPr="00364B85">
        <w:rPr>
          <w:rFonts w:ascii="Times New Roman" w:hAnsi="Times New Roman" w:cs="Times New Roman"/>
          <w:sz w:val="28"/>
          <w:szCs w:val="28"/>
        </w:rPr>
        <w:t>4</w:t>
      </w:r>
      <w:r w:rsidR="008A6467" w:rsidRPr="00364B85">
        <w:rPr>
          <w:rFonts w:ascii="Times New Roman" w:hAnsi="Times New Roman" w:cs="Times New Roman"/>
          <w:sz w:val="28"/>
          <w:szCs w:val="28"/>
        </w:rPr>
        <w:t>,</w:t>
      </w:r>
      <w:r w:rsidR="00677927" w:rsidRPr="00364B85">
        <w:rPr>
          <w:rFonts w:ascii="Times New Roman" w:hAnsi="Times New Roman" w:cs="Times New Roman"/>
          <w:sz w:val="28"/>
          <w:szCs w:val="28"/>
        </w:rPr>
        <w:t>6</w:t>
      </w:r>
      <w:r w:rsidR="008A6467" w:rsidRPr="00364B85">
        <w:rPr>
          <w:rFonts w:ascii="Times New Roman" w:hAnsi="Times New Roman" w:cs="Times New Roman"/>
          <w:sz w:val="28"/>
          <w:szCs w:val="28"/>
        </w:rPr>
        <w:t>),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77927" w:rsidRPr="00364B85">
        <w:rPr>
          <w:rFonts w:ascii="Times New Roman" w:hAnsi="Times New Roman" w:cs="Times New Roman"/>
          <w:sz w:val="28"/>
          <w:szCs w:val="28"/>
        </w:rPr>
        <w:t>Шполянськ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(24,3), Чигиринськ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(23,6) </w:t>
      </w:r>
      <w:r w:rsidR="008A3DA8">
        <w:rPr>
          <w:rFonts w:ascii="Times New Roman" w:hAnsi="Times New Roman" w:cs="Times New Roman"/>
          <w:sz w:val="28"/>
          <w:szCs w:val="28"/>
        </w:rPr>
        <w:t>територіальних громадах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та м. Сміла (24,3)</w:t>
      </w:r>
      <w:r w:rsidRPr="00364B85">
        <w:rPr>
          <w:rFonts w:ascii="Times New Roman" w:hAnsi="Times New Roman" w:cs="Times New Roman"/>
          <w:sz w:val="28"/>
          <w:szCs w:val="28"/>
        </w:rPr>
        <w:t xml:space="preserve">; найнижчі – </w:t>
      </w:r>
      <w:proofErr w:type="spellStart"/>
      <w:r w:rsidR="00677927" w:rsidRPr="0044694B">
        <w:rPr>
          <w:rFonts w:ascii="Times New Roman" w:hAnsi="Times New Roman" w:cs="Times New Roman"/>
          <w:b/>
          <w:sz w:val="28"/>
          <w:szCs w:val="28"/>
        </w:rPr>
        <w:t>Кам’янськ</w:t>
      </w:r>
      <w:r w:rsidR="008A3DA8">
        <w:rPr>
          <w:rFonts w:ascii="Times New Roman" w:hAnsi="Times New Roman" w:cs="Times New Roman"/>
          <w:b/>
          <w:sz w:val="28"/>
          <w:szCs w:val="28"/>
        </w:rPr>
        <w:t>ій</w:t>
      </w:r>
      <w:proofErr w:type="spellEnd"/>
      <w:r w:rsidR="00677927" w:rsidRPr="00364B85">
        <w:rPr>
          <w:rFonts w:ascii="Times New Roman" w:hAnsi="Times New Roman" w:cs="Times New Roman"/>
          <w:sz w:val="28"/>
          <w:szCs w:val="28"/>
        </w:rPr>
        <w:t>(</w:t>
      </w:r>
      <w:r w:rsidR="00677927" w:rsidRPr="0044694B">
        <w:rPr>
          <w:rFonts w:ascii="Times New Roman" w:hAnsi="Times New Roman" w:cs="Times New Roman"/>
          <w:b/>
          <w:sz w:val="28"/>
          <w:szCs w:val="28"/>
        </w:rPr>
        <w:t>3,9</w:t>
      </w:r>
      <w:r w:rsidR="00677927" w:rsidRPr="00364B85">
        <w:rPr>
          <w:rFonts w:ascii="Times New Roman" w:hAnsi="Times New Roman" w:cs="Times New Roman"/>
          <w:sz w:val="28"/>
          <w:szCs w:val="28"/>
        </w:rPr>
        <w:t>), К</w:t>
      </w:r>
      <w:r w:rsidR="00364B85">
        <w:rPr>
          <w:rFonts w:ascii="Times New Roman" w:hAnsi="Times New Roman" w:cs="Times New Roman"/>
          <w:sz w:val="28"/>
          <w:szCs w:val="28"/>
        </w:rPr>
        <w:t>орсунь</w:t>
      </w:r>
      <w:r w:rsidR="00677927" w:rsidRPr="00364B85">
        <w:rPr>
          <w:rFonts w:ascii="Times New Roman" w:hAnsi="Times New Roman" w:cs="Times New Roman"/>
          <w:sz w:val="28"/>
          <w:szCs w:val="28"/>
        </w:rPr>
        <w:t>-Шевченківськ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(4,9), </w:t>
      </w:r>
      <w:proofErr w:type="spellStart"/>
      <w:r w:rsidR="006B1F27" w:rsidRPr="00364B85">
        <w:rPr>
          <w:rFonts w:ascii="Times New Roman" w:hAnsi="Times New Roman" w:cs="Times New Roman"/>
          <w:sz w:val="28"/>
          <w:szCs w:val="28"/>
        </w:rPr>
        <w:t>Чорнобаївськ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8A3DA8">
        <w:rPr>
          <w:rFonts w:ascii="Times New Roman" w:hAnsi="Times New Roman" w:cs="Times New Roman"/>
          <w:sz w:val="28"/>
          <w:szCs w:val="28"/>
        </w:rPr>
        <w:t xml:space="preserve"> </w:t>
      </w:r>
      <w:r w:rsidRPr="00364B85">
        <w:rPr>
          <w:rFonts w:ascii="Times New Roman" w:hAnsi="Times New Roman" w:cs="Times New Roman"/>
          <w:sz w:val="28"/>
          <w:szCs w:val="28"/>
        </w:rPr>
        <w:t>(5</w:t>
      </w:r>
      <w:r w:rsidR="006B1F27" w:rsidRPr="00364B85">
        <w:rPr>
          <w:rFonts w:ascii="Times New Roman" w:hAnsi="Times New Roman" w:cs="Times New Roman"/>
          <w:sz w:val="28"/>
          <w:szCs w:val="28"/>
        </w:rPr>
        <w:t>,</w:t>
      </w:r>
      <w:r w:rsidR="00677927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364B85">
        <w:rPr>
          <w:rFonts w:ascii="Times New Roman" w:hAnsi="Times New Roman" w:cs="Times New Roman"/>
          <w:sz w:val="28"/>
          <w:szCs w:val="28"/>
        </w:rPr>
        <w:t>Жашківськ</w:t>
      </w:r>
      <w:r w:rsidR="008A3DA8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364B85">
        <w:rPr>
          <w:rFonts w:ascii="Times New Roman" w:hAnsi="Times New Roman" w:cs="Times New Roman"/>
          <w:sz w:val="28"/>
          <w:szCs w:val="28"/>
        </w:rPr>
        <w:t xml:space="preserve"> (8,6)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77927" w:rsidRPr="0044694B">
        <w:rPr>
          <w:rFonts w:ascii="Times New Roman" w:hAnsi="Times New Roman" w:cs="Times New Roman"/>
          <w:b/>
          <w:sz w:val="28"/>
          <w:szCs w:val="28"/>
        </w:rPr>
        <w:t>Маньківськ</w:t>
      </w:r>
      <w:r w:rsidR="008A3DA8">
        <w:rPr>
          <w:rFonts w:ascii="Times New Roman" w:hAnsi="Times New Roman" w:cs="Times New Roman"/>
          <w:b/>
          <w:sz w:val="28"/>
          <w:szCs w:val="28"/>
        </w:rPr>
        <w:t>ій</w:t>
      </w:r>
      <w:proofErr w:type="spellEnd"/>
      <w:r w:rsidR="00677927" w:rsidRPr="00364B85">
        <w:rPr>
          <w:rFonts w:ascii="Times New Roman" w:hAnsi="Times New Roman" w:cs="Times New Roman"/>
          <w:sz w:val="28"/>
          <w:szCs w:val="28"/>
        </w:rPr>
        <w:t xml:space="preserve"> (</w:t>
      </w:r>
      <w:r w:rsidR="00677927" w:rsidRPr="0044694B">
        <w:rPr>
          <w:rFonts w:ascii="Times New Roman" w:hAnsi="Times New Roman" w:cs="Times New Roman"/>
          <w:b/>
          <w:sz w:val="28"/>
          <w:szCs w:val="28"/>
        </w:rPr>
        <w:t>11,4</w:t>
      </w:r>
      <w:r w:rsidR="00677927" w:rsidRPr="00364B85">
        <w:rPr>
          <w:rFonts w:ascii="Times New Roman" w:hAnsi="Times New Roman" w:cs="Times New Roman"/>
          <w:sz w:val="28"/>
          <w:szCs w:val="28"/>
        </w:rPr>
        <w:t xml:space="preserve">) </w:t>
      </w:r>
      <w:r w:rsidR="008A3DA8">
        <w:rPr>
          <w:rFonts w:ascii="Times New Roman" w:hAnsi="Times New Roman" w:cs="Times New Roman"/>
          <w:sz w:val="28"/>
          <w:szCs w:val="28"/>
        </w:rPr>
        <w:t>територіальних громадах</w:t>
      </w:r>
      <w:r w:rsidRPr="00364B85">
        <w:rPr>
          <w:rFonts w:ascii="Times New Roman" w:hAnsi="Times New Roman" w:cs="Times New Roman"/>
          <w:sz w:val="28"/>
          <w:szCs w:val="28"/>
        </w:rPr>
        <w:t>.</w:t>
      </w:r>
    </w:p>
    <w:p w:rsidR="00364B85" w:rsidRPr="008A3DA8" w:rsidRDefault="00364B85" w:rsidP="00364B85">
      <w:pPr>
        <w:spacing w:after="0" w:line="240" w:lineRule="auto"/>
        <w:ind w:right="-142"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3A7DE1" w:rsidRDefault="003A7DE1" w:rsidP="00364B8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B85">
        <w:rPr>
          <w:rFonts w:ascii="Times New Roman" w:hAnsi="Times New Roman" w:cs="Times New Roman"/>
          <w:i/>
          <w:sz w:val="24"/>
          <w:szCs w:val="24"/>
        </w:rPr>
        <w:t>Малюнок</w:t>
      </w:r>
      <w:r w:rsidR="0044694B">
        <w:rPr>
          <w:rFonts w:ascii="Times New Roman" w:hAnsi="Times New Roman" w:cs="Times New Roman"/>
          <w:i/>
          <w:sz w:val="24"/>
          <w:szCs w:val="24"/>
        </w:rPr>
        <w:t> </w:t>
      </w:r>
      <w:r w:rsidRPr="00364B85">
        <w:rPr>
          <w:rFonts w:ascii="Times New Roman" w:hAnsi="Times New Roman" w:cs="Times New Roman"/>
          <w:i/>
          <w:sz w:val="24"/>
          <w:szCs w:val="24"/>
        </w:rPr>
        <w:t>1. Захворюваність на ТБ (</w:t>
      </w:r>
      <w:proofErr w:type="spellStart"/>
      <w:r w:rsidRPr="00364B85">
        <w:rPr>
          <w:rFonts w:ascii="Times New Roman" w:hAnsi="Times New Roman" w:cs="Times New Roman"/>
          <w:i/>
          <w:sz w:val="24"/>
          <w:szCs w:val="24"/>
        </w:rPr>
        <w:t>впершедіагностований</w:t>
      </w:r>
      <w:proofErr w:type="spellEnd"/>
      <w:r w:rsidRPr="00364B85">
        <w:rPr>
          <w:rFonts w:ascii="Times New Roman" w:hAnsi="Times New Roman" w:cs="Times New Roman"/>
          <w:i/>
          <w:sz w:val="24"/>
          <w:szCs w:val="24"/>
        </w:rPr>
        <w:t xml:space="preserve"> та рецидиви ТБ),</w:t>
      </w:r>
      <w:r w:rsidR="00364B8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364B85">
        <w:rPr>
          <w:rFonts w:ascii="Times New Roman" w:hAnsi="Times New Roman" w:cs="Times New Roman"/>
          <w:i/>
          <w:sz w:val="24"/>
          <w:szCs w:val="24"/>
        </w:rPr>
        <w:t>10</w:t>
      </w:r>
      <w:r w:rsidR="007B7DC3" w:rsidRPr="00364B85">
        <w:rPr>
          <w:rFonts w:ascii="Times New Roman" w:hAnsi="Times New Roman" w:cs="Times New Roman"/>
          <w:i/>
          <w:sz w:val="24"/>
          <w:szCs w:val="24"/>
        </w:rPr>
        <w:t xml:space="preserve">0 тис. населення, </w:t>
      </w:r>
      <w:r w:rsidRPr="00364B85">
        <w:rPr>
          <w:rFonts w:ascii="Times New Roman" w:hAnsi="Times New Roman" w:cs="Times New Roman"/>
          <w:i/>
          <w:sz w:val="24"/>
          <w:szCs w:val="24"/>
        </w:rPr>
        <w:t>І півріччя 20</w:t>
      </w:r>
      <w:r w:rsidR="00754951" w:rsidRPr="00364B85">
        <w:rPr>
          <w:rFonts w:ascii="Times New Roman" w:hAnsi="Times New Roman" w:cs="Times New Roman"/>
          <w:i/>
          <w:sz w:val="24"/>
          <w:szCs w:val="24"/>
        </w:rPr>
        <w:t>2</w:t>
      </w:r>
      <w:r w:rsidR="00677927" w:rsidRPr="00364B85">
        <w:rPr>
          <w:rFonts w:ascii="Times New Roman" w:hAnsi="Times New Roman" w:cs="Times New Roman"/>
          <w:i/>
          <w:sz w:val="24"/>
          <w:szCs w:val="24"/>
        </w:rPr>
        <w:t>1</w:t>
      </w:r>
      <w:r w:rsidRPr="00364B85">
        <w:rPr>
          <w:rFonts w:ascii="Times New Roman" w:hAnsi="Times New Roman" w:cs="Times New Roman"/>
          <w:i/>
          <w:sz w:val="24"/>
          <w:szCs w:val="24"/>
        </w:rPr>
        <w:t xml:space="preserve"> р.</w:t>
      </w:r>
    </w:p>
    <w:p w:rsidR="00364B85" w:rsidRPr="008A3DA8" w:rsidRDefault="00364B85" w:rsidP="00364B85">
      <w:pPr>
        <w:spacing w:after="0" w:line="240" w:lineRule="auto"/>
        <w:jc w:val="both"/>
        <w:rPr>
          <w:rFonts w:ascii="Times New Roman" w:hAnsi="Times New Roman" w:cs="Times New Roman"/>
          <w:i/>
          <w:strike/>
          <w:sz w:val="16"/>
          <w:szCs w:val="16"/>
        </w:rPr>
      </w:pPr>
    </w:p>
    <w:p w:rsidR="003A7DE1" w:rsidRDefault="00622705" w:rsidP="003A7DE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val="ru-RU" w:eastAsia="ru-RU"/>
        </w:rPr>
        <w:drawing>
          <wp:inline distT="0" distB="0" distL="0" distR="0" wp14:anchorId="50243C0C" wp14:editId="19208682">
            <wp:extent cx="6114553" cy="4778734"/>
            <wp:effectExtent l="0" t="0" r="635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47835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7DC3" w:rsidRPr="005C44DC" w:rsidRDefault="00192859" w:rsidP="003A7DE1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186115" cy="4023360"/>
            <wp:effectExtent l="0" t="0" r="24765" b="1524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64B85" w:rsidRDefault="003A7DE1" w:rsidP="00364B85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Як видно з діаграми, в області наявні регіони із значн</w:t>
      </w:r>
      <w:r w:rsidR="00364B85">
        <w:rPr>
          <w:rFonts w:ascii="Times New Roman" w:hAnsi="Times New Roman" w:cs="Times New Roman"/>
          <w:sz w:val="28"/>
          <w:szCs w:val="28"/>
        </w:rPr>
        <w:t>ими коливаннями захворюваності.</w:t>
      </w:r>
    </w:p>
    <w:p w:rsidR="000C10F2" w:rsidRDefault="00364B85" w:rsidP="000C10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7F6DA4" w:rsidRPr="00364B85">
        <w:rPr>
          <w:rFonts w:ascii="Times New Roman" w:hAnsi="Times New Roman" w:cs="Times New Roman"/>
          <w:sz w:val="28"/>
          <w:szCs w:val="28"/>
        </w:rPr>
        <w:t xml:space="preserve"> І півріччі 2021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  <w:r w:rsidR="00192859" w:rsidRPr="00364B85">
        <w:rPr>
          <w:rFonts w:ascii="Times New Roman" w:hAnsi="Times New Roman" w:cs="Times New Roman"/>
          <w:sz w:val="28"/>
          <w:szCs w:val="28"/>
        </w:rPr>
        <w:t xml:space="preserve"> в більшості регіонів області показник захворюваності зменшився, в деяких значно, що вказує на значне </w:t>
      </w:r>
      <w:proofErr w:type="spellStart"/>
      <w:r w:rsidR="00192859" w:rsidRPr="00364B85">
        <w:rPr>
          <w:rFonts w:ascii="Times New Roman" w:hAnsi="Times New Roman" w:cs="Times New Roman"/>
          <w:sz w:val="28"/>
          <w:szCs w:val="28"/>
        </w:rPr>
        <w:t>недовиявлення</w:t>
      </w:r>
      <w:proofErr w:type="spellEnd"/>
      <w:r w:rsidR="00192859" w:rsidRPr="00364B85">
        <w:rPr>
          <w:rFonts w:ascii="Times New Roman" w:hAnsi="Times New Roman" w:cs="Times New Roman"/>
          <w:sz w:val="28"/>
          <w:szCs w:val="28"/>
        </w:rPr>
        <w:t xml:space="preserve"> хворих на ТБ.</w:t>
      </w:r>
      <w:r w:rsidR="007F6DA4"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Особливе занепокоєння викликають </w:t>
      </w:r>
      <w:proofErr w:type="spellStart"/>
      <w:r w:rsidR="003E5350" w:rsidRPr="00364B85">
        <w:rPr>
          <w:rFonts w:ascii="Times New Roman" w:hAnsi="Times New Roman" w:cs="Times New Roman"/>
          <w:sz w:val="28"/>
          <w:szCs w:val="28"/>
        </w:rPr>
        <w:t>Жашківськ</w:t>
      </w:r>
      <w:r w:rsidR="008A3D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5350" w:rsidRPr="00364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350" w:rsidRPr="00364B85">
        <w:rPr>
          <w:rFonts w:ascii="Times New Roman" w:hAnsi="Times New Roman" w:cs="Times New Roman"/>
          <w:sz w:val="28"/>
          <w:szCs w:val="28"/>
        </w:rPr>
        <w:t>Золотоніськ</w:t>
      </w:r>
      <w:r w:rsidR="008A3D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5350" w:rsidRPr="00364B85">
        <w:rPr>
          <w:rFonts w:ascii="Times New Roman" w:hAnsi="Times New Roman" w:cs="Times New Roman"/>
          <w:sz w:val="28"/>
          <w:szCs w:val="28"/>
        </w:rPr>
        <w:t>, К</w:t>
      </w:r>
      <w:r w:rsidR="000C10F2">
        <w:rPr>
          <w:rFonts w:ascii="Times New Roman" w:hAnsi="Times New Roman" w:cs="Times New Roman"/>
          <w:sz w:val="28"/>
          <w:szCs w:val="28"/>
        </w:rPr>
        <w:t>орсунь</w:t>
      </w:r>
      <w:r w:rsidR="003E5350" w:rsidRPr="00364B85">
        <w:rPr>
          <w:rFonts w:ascii="Times New Roman" w:hAnsi="Times New Roman" w:cs="Times New Roman"/>
          <w:sz w:val="28"/>
          <w:szCs w:val="28"/>
        </w:rPr>
        <w:t>-Шевченківськ</w:t>
      </w:r>
      <w:r w:rsidR="008A3DA8">
        <w:rPr>
          <w:rFonts w:ascii="Times New Roman" w:hAnsi="Times New Roman" w:cs="Times New Roman"/>
          <w:sz w:val="28"/>
          <w:szCs w:val="28"/>
        </w:rPr>
        <w:t>а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Кам’янськ</w:t>
      </w:r>
      <w:r w:rsidR="008A3DA8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spellEnd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350" w:rsidRPr="00364B85">
        <w:rPr>
          <w:rFonts w:ascii="Times New Roman" w:hAnsi="Times New Roman" w:cs="Times New Roman"/>
          <w:sz w:val="28"/>
          <w:szCs w:val="28"/>
        </w:rPr>
        <w:t>Катеринопільськ</w:t>
      </w:r>
      <w:r w:rsidR="008A3DA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5350" w:rsidRPr="00364B8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Лисянськ</w:t>
      </w:r>
      <w:r w:rsidR="008A3DA8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spellEnd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Маньківськ</w:t>
      </w:r>
      <w:r w:rsidR="008A3DA8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spellEnd"/>
      <w:r w:rsidR="003E5350" w:rsidRPr="00364B85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 Уманськ</w:t>
      </w:r>
      <w:r w:rsidR="008A3DA8">
        <w:rPr>
          <w:rFonts w:ascii="Times New Roman" w:hAnsi="Times New Roman" w:cs="Times New Roman"/>
          <w:sz w:val="28"/>
          <w:szCs w:val="28"/>
        </w:rPr>
        <w:t>а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="003E5350" w:rsidRPr="00364B85">
        <w:rPr>
          <w:rFonts w:ascii="Times New Roman" w:hAnsi="Times New Roman" w:cs="Times New Roman"/>
          <w:sz w:val="28"/>
          <w:szCs w:val="28"/>
        </w:rPr>
        <w:t>Чорнобаївськ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3E5350"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A87355">
        <w:rPr>
          <w:rFonts w:ascii="Times New Roman" w:hAnsi="Times New Roman" w:cs="Times New Roman"/>
          <w:sz w:val="28"/>
          <w:szCs w:val="28"/>
        </w:rPr>
        <w:t>територіальні громади</w:t>
      </w:r>
      <w:r w:rsidR="000C10F2">
        <w:rPr>
          <w:rFonts w:ascii="Times New Roman" w:hAnsi="Times New Roman" w:cs="Times New Roman"/>
          <w:sz w:val="28"/>
          <w:szCs w:val="28"/>
        </w:rPr>
        <w:t>.</w:t>
      </w:r>
    </w:p>
    <w:p w:rsidR="000C10F2" w:rsidRDefault="00192859" w:rsidP="000C10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 xml:space="preserve">Даний факт підтверджується </w:t>
      </w:r>
      <w:r w:rsidR="003E5350" w:rsidRPr="00364B85">
        <w:rPr>
          <w:rFonts w:ascii="Times New Roman" w:hAnsi="Times New Roman" w:cs="Times New Roman"/>
          <w:sz w:val="28"/>
          <w:szCs w:val="28"/>
        </w:rPr>
        <w:t xml:space="preserve">хвилеподібною зміною показника </w:t>
      </w:r>
      <w:r w:rsidRPr="00364B85">
        <w:rPr>
          <w:rFonts w:ascii="Times New Roman" w:hAnsi="Times New Roman" w:cs="Times New Roman"/>
          <w:sz w:val="28"/>
          <w:szCs w:val="28"/>
        </w:rPr>
        <w:t xml:space="preserve"> з</w:t>
      </w:r>
      <w:r w:rsidR="003A7DE1" w:rsidRPr="00364B85">
        <w:rPr>
          <w:rFonts w:ascii="Times New Roman" w:hAnsi="Times New Roman" w:cs="Times New Roman"/>
          <w:sz w:val="28"/>
          <w:szCs w:val="28"/>
        </w:rPr>
        <w:t>ахворюван</w:t>
      </w:r>
      <w:r w:rsidRPr="00364B85">
        <w:rPr>
          <w:rFonts w:ascii="Times New Roman" w:hAnsi="Times New Roman" w:cs="Times New Roman"/>
          <w:sz w:val="28"/>
          <w:szCs w:val="28"/>
        </w:rPr>
        <w:t>о</w:t>
      </w:r>
      <w:r w:rsidR="003A7DE1" w:rsidRPr="00364B85">
        <w:rPr>
          <w:rFonts w:ascii="Times New Roman" w:hAnsi="Times New Roman" w:cs="Times New Roman"/>
          <w:sz w:val="28"/>
          <w:szCs w:val="28"/>
        </w:rPr>
        <w:t>ст</w:t>
      </w:r>
      <w:r w:rsidRPr="00364B85">
        <w:rPr>
          <w:rFonts w:ascii="Times New Roman" w:hAnsi="Times New Roman" w:cs="Times New Roman"/>
          <w:sz w:val="28"/>
          <w:szCs w:val="28"/>
        </w:rPr>
        <w:t>і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 на ТБ, включно з новими випадками та рецидивами, серед дітей (0-14 роки)</w:t>
      </w:r>
      <w:r w:rsidRPr="00364B85">
        <w:rPr>
          <w:rFonts w:ascii="Times New Roman" w:hAnsi="Times New Roman" w:cs="Times New Roman"/>
          <w:sz w:val="28"/>
          <w:szCs w:val="28"/>
        </w:rPr>
        <w:t xml:space="preserve">. </w:t>
      </w:r>
      <w:r w:rsidR="003E5350" w:rsidRPr="00364B85">
        <w:rPr>
          <w:rFonts w:ascii="Times New Roman" w:hAnsi="Times New Roman" w:cs="Times New Roman"/>
          <w:sz w:val="28"/>
          <w:szCs w:val="28"/>
        </w:rPr>
        <w:t>За І півріччя 2021 р. п</w:t>
      </w:r>
      <w:r w:rsidRPr="00364B85">
        <w:rPr>
          <w:rFonts w:ascii="Times New Roman" w:hAnsi="Times New Roman" w:cs="Times New Roman"/>
          <w:sz w:val="28"/>
          <w:szCs w:val="28"/>
        </w:rPr>
        <w:t>оказник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 становить </w:t>
      </w:r>
      <w:r w:rsidR="003E5350" w:rsidRPr="0044694B">
        <w:rPr>
          <w:rFonts w:ascii="Times New Roman" w:hAnsi="Times New Roman" w:cs="Times New Roman"/>
          <w:b/>
          <w:sz w:val="28"/>
          <w:szCs w:val="28"/>
        </w:rPr>
        <w:t>4</w:t>
      </w:r>
      <w:r w:rsidR="003A7DE1" w:rsidRPr="0044694B">
        <w:rPr>
          <w:rFonts w:ascii="Times New Roman" w:hAnsi="Times New Roman" w:cs="Times New Roman"/>
          <w:b/>
          <w:sz w:val="28"/>
          <w:szCs w:val="28"/>
        </w:rPr>
        <w:t>,</w:t>
      </w:r>
      <w:r w:rsidR="00CF3D14" w:rsidRPr="0044694B">
        <w:rPr>
          <w:rFonts w:ascii="Times New Roman" w:hAnsi="Times New Roman" w:cs="Times New Roman"/>
          <w:b/>
          <w:sz w:val="28"/>
          <w:szCs w:val="28"/>
        </w:rPr>
        <w:t>9</w:t>
      </w:r>
      <w:r w:rsidR="003A7DE1" w:rsidRPr="0044694B">
        <w:rPr>
          <w:rFonts w:ascii="Times New Roman" w:hAnsi="Times New Roman" w:cs="Times New Roman"/>
          <w:b/>
          <w:sz w:val="28"/>
          <w:szCs w:val="28"/>
        </w:rPr>
        <w:t xml:space="preserve"> на 100 тис</w:t>
      </w:r>
      <w:r w:rsidRPr="0044694B">
        <w:rPr>
          <w:rFonts w:ascii="Times New Roman" w:hAnsi="Times New Roman" w:cs="Times New Roman"/>
          <w:b/>
          <w:sz w:val="28"/>
          <w:szCs w:val="28"/>
        </w:rPr>
        <w:t>.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44694B">
        <w:rPr>
          <w:rFonts w:ascii="Times New Roman" w:hAnsi="Times New Roman" w:cs="Times New Roman"/>
          <w:b/>
          <w:sz w:val="28"/>
          <w:szCs w:val="28"/>
        </w:rPr>
        <w:t>відповідного населення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, проти </w:t>
      </w:r>
      <w:r w:rsidR="00CF3D14" w:rsidRPr="00364B85">
        <w:rPr>
          <w:rFonts w:ascii="Times New Roman" w:hAnsi="Times New Roman" w:cs="Times New Roman"/>
          <w:sz w:val="28"/>
          <w:szCs w:val="28"/>
        </w:rPr>
        <w:t>6,0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 на 100 тис. дитячого населення за І півріччя 20</w:t>
      </w:r>
      <w:r w:rsidR="00CF3D14" w:rsidRPr="00364B85">
        <w:rPr>
          <w:rFonts w:ascii="Times New Roman" w:hAnsi="Times New Roman" w:cs="Times New Roman"/>
          <w:sz w:val="28"/>
          <w:szCs w:val="28"/>
        </w:rPr>
        <w:t>2</w:t>
      </w:r>
      <w:r w:rsidR="00843B73">
        <w:rPr>
          <w:rFonts w:ascii="Times New Roman" w:hAnsi="Times New Roman" w:cs="Times New Roman"/>
          <w:sz w:val="28"/>
          <w:szCs w:val="28"/>
        </w:rPr>
        <w:t>0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</w:t>
      </w:r>
      <w:r w:rsidR="000C10F2">
        <w:rPr>
          <w:rFonts w:ascii="Times New Roman" w:hAnsi="Times New Roman" w:cs="Times New Roman"/>
          <w:sz w:val="28"/>
          <w:szCs w:val="28"/>
        </w:rPr>
        <w:br/>
      </w:r>
      <w:r w:rsidRPr="00364B85">
        <w:rPr>
          <w:rFonts w:ascii="Times New Roman" w:hAnsi="Times New Roman" w:cs="Times New Roman"/>
          <w:sz w:val="28"/>
          <w:szCs w:val="28"/>
        </w:rPr>
        <w:t>(</w:t>
      </w:r>
      <w:r w:rsidR="00CF3D14" w:rsidRPr="00364B85">
        <w:rPr>
          <w:rFonts w:ascii="Times New Roman" w:hAnsi="Times New Roman" w:cs="Times New Roman"/>
          <w:sz w:val="28"/>
          <w:szCs w:val="28"/>
        </w:rPr>
        <w:t>І пів</w:t>
      </w:r>
      <w:r w:rsidR="000C10F2">
        <w:rPr>
          <w:rFonts w:ascii="Times New Roman" w:hAnsi="Times New Roman" w:cs="Times New Roman"/>
          <w:sz w:val="28"/>
          <w:szCs w:val="28"/>
        </w:rPr>
        <w:t>річчя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 2019 р. – 4,7, </w:t>
      </w:r>
      <w:r w:rsidRPr="00364B85">
        <w:rPr>
          <w:rFonts w:ascii="Times New Roman" w:hAnsi="Times New Roman" w:cs="Times New Roman"/>
          <w:sz w:val="28"/>
          <w:szCs w:val="28"/>
        </w:rPr>
        <w:t xml:space="preserve">Україна </w:t>
      </w:r>
      <w:r w:rsidR="000C10F2">
        <w:rPr>
          <w:rFonts w:ascii="Times New Roman" w:hAnsi="Times New Roman" w:cs="Times New Roman"/>
          <w:sz w:val="28"/>
          <w:szCs w:val="28"/>
        </w:rPr>
        <w:t xml:space="preserve">– </w:t>
      </w:r>
      <w:r w:rsidRPr="00364B85">
        <w:rPr>
          <w:rFonts w:ascii="Times New Roman" w:hAnsi="Times New Roman" w:cs="Times New Roman"/>
          <w:sz w:val="28"/>
          <w:szCs w:val="28"/>
        </w:rPr>
        <w:t>І півріччя 202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– </w:t>
      </w:r>
      <w:r w:rsidR="00CF3D14" w:rsidRPr="00364B85">
        <w:rPr>
          <w:rFonts w:ascii="Times New Roman" w:hAnsi="Times New Roman" w:cs="Times New Roman"/>
          <w:sz w:val="28"/>
          <w:szCs w:val="28"/>
        </w:rPr>
        <w:t>3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CF3D14" w:rsidRPr="00364B85">
        <w:rPr>
          <w:rFonts w:ascii="Times New Roman" w:hAnsi="Times New Roman" w:cs="Times New Roman"/>
          <w:sz w:val="28"/>
          <w:szCs w:val="28"/>
        </w:rPr>
        <w:t>6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). Серед підлітків (15-17 років) - </w:t>
      </w:r>
      <w:r w:rsidRPr="0044694B">
        <w:rPr>
          <w:rFonts w:ascii="Times New Roman" w:hAnsi="Times New Roman" w:cs="Times New Roman"/>
          <w:b/>
          <w:sz w:val="28"/>
          <w:szCs w:val="28"/>
        </w:rPr>
        <w:t>6</w:t>
      </w:r>
      <w:r w:rsidR="003A7DE1" w:rsidRPr="0044694B">
        <w:rPr>
          <w:rFonts w:ascii="Times New Roman" w:hAnsi="Times New Roman" w:cs="Times New Roman"/>
          <w:b/>
          <w:sz w:val="28"/>
          <w:szCs w:val="28"/>
        </w:rPr>
        <w:t>,</w:t>
      </w:r>
      <w:r w:rsidR="00CF3D14" w:rsidRPr="0044694B">
        <w:rPr>
          <w:rFonts w:ascii="Times New Roman" w:hAnsi="Times New Roman" w:cs="Times New Roman"/>
          <w:b/>
          <w:sz w:val="28"/>
          <w:szCs w:val="28"/>
        </w:rPr>
        <w:t>5</w:t>
      </w:r>
      <w:r w:rsidR="003A7DE1" w:rsidRPr="0044694B">
        <w:rPr>
          <w:rFonts w:ascii="Times New Roman" w:hAnsi="Times New Roman" w:cs="Times New Roman"/>
          <w:b/>
          <w:sz w:val="28"/>
          <w:szCs w:val="28"/>
        </w:rPr>
        <w:t xml:space="preserve"> на 100 тис.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3A7DE1" w:rsidRPr="0044694B">
        <w:rPr>
          <w:rFonts w:ascii="Times New Roman" w:hAnsi="Times New Roman" w:cs="Times New Roman"/>
          <w:b/>
          <w:sz w:val="28"/>
          <w:szCs w:val="28"/>
        </w:rPr>
        <w:t>ві</w:t>
      </w:r>
      <w:r w:rsidRPr="0044694B">
        <w:rPr>
          <w:rFonts w:ascii="Times New Roman" w:hAnsi="Times New Roman" w:cs="Times New Roman"/>
          <w:b/>
          <w:sz w:val="28"/>
          <w:szCs w:val="28"/>
        </w:rPr>
        <w:t>дповідного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44694B">
        <w:rPr>
          <w:rFonts w:ascii="Times New Roman" w:hAnsi="Times New Roman" w:cs="Times New Roman"/>
          <w:b/>
          <w:sz w:val="28"/>
          <w:szCs w:val="28"/>
        </w:rPr>
        <w:t>населення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, проти </w:t>
      </w:r>
      <w:r w:rsidR="00CF3D14" w:rsidRPr="00364B85">
        <w:rPr>
          <w:rFonts w:ascii="Times New Roman" w:hAnsi="Times New Roman" w:cs="Times New Roman"/>
          <w:sz w:val="28"/>
          <w:szCs w:val="28"/>
        </w:rPr>
        <w:t>16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CF3D14" w:rsidRPr="00364B85">
        <w:rPr>
          <w:rFonts w:ascii="Times New Roman" w:hAnsi="Times New Roman" w:cs="Times New Roman"/>
          <w:sz w:val="28"/>
          <w:szCs w:val="28"/>
        </w:rPr>
        <w:t>6</w:t>
      </w:r>
      <w:r w:rsidRPr="00364B85">
        <w:rPr>
          <w:rFonts w:ascii="Times New Roman" w:hAnsi="Times New Roman" w:cs="Times New Roman"/>
          <w:sz w:val="28"/>
          <w:szCs w:val="28"/>
        </w:rPr>
        <w:t xml:space="preserve"> на 100 тис. підліткового населення </w:t>
      </w:r>
      <w:r w:rsidR="000F51B1" w:rsidRPr="00364B85">
        <w:rPr>
          <w:rFonts w:ascii="Times New Roman" w:hAnsi="Times New Roman" w:cs="Times New Roman"/>
          <w:sz w:val="28"/>
          <w:szCs w:val="28"/>
        </w:rPr>
        <w:t>за І півріччя 20</w:t>
      </w:r>
      <w:r w:rsidR="00CF3D14" w:rsidRPr="00364B85">
        <w:rPr>
          <w:rFonts w:ascii="Times New Roman" w:hAnsi="Times New Roman" w:cs="Times New Roman"/>
          <w:sz w:val="28"/>
          <w:szCs w:val="28"/>
        </w:rPr>
        <w:t>2</w:t>
      </w:r>
      <w:r w:rsidR="00843B73">
        <w:rPr>
          <w:rFonts w:ascii="Times New Roman" w:hAnsi="Times New Roman" w:cs="Times New Roman"/>
          <w:sz w:val="28"/>
          <w:szCs w:val="28"/>
        </w:rPr>
        <w:t>0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 р. (</w:t>
      </w:r>
      <w:r w:rsidR="00CF3D14" w:rsidRPr="00364B85">
        <w:rPr>
          <w:rFonts w:ascii="Times New Roman" w:hAnsi="Times New Roman" w:cs="Times New Roman"/>
          <w:sz w:val="28"/>
          <w:szCs w:val="28"/>
        </w:rPr>
        <w:t>І пів</w:t>
      </w:r>
      <w:r w:rsidR="000C10F2">
        <w:rPr>
          <w:rFonts w:ascii="Times New Roman" w:hAnsi="Times New Roman" w:cs="Times New Roman"/>
          <w:sz w:val="28"/>
          <w:szCs w:val="28"/>
        </w:rPr>
        <w:t>річчя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 2019 </w:t>
      </w:r>
      <w:r w:rsidR="000C10F2">
        <w:rPr>
          <w:rFonts w:ascii="Times New Roman" w:hAnsi="Times New Roman" w:cs="Times New Roman"/>
          <w:sz w:val="28"/>
          <w:szCs w:val="28"/>
        </w:rPr>
        <w:t xml:space="preserve">р. 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– 16,6, Україна </w:t>
      </w:r>
      <w:r w:rsidR="000C10F2">
        <w:rPr>
          <w:rFonts w:ascii="Times New Roman" w:hAnsi="Times New Roman" w:cs="Times New Roman"/>
          <w:sz w:val="28"/>
          <w:szCs w:val="28"/>
        </w:rPr>
        <w:t xml:space="preserve">– 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І півріччя 2021 </w:t>
      </w:r>
      <w:r w:rsidR="000C10F2">
        <w:rPr>
          <w:rFonts w:ascii="Times New Roman" w:hAnsi="Times New Roman" w:cs="Times New Roman"/>
          <w:sz w:val="28"/>
          <w:szCs w:val="28"/>
        </w:rPr>
        <w:t xml:space="preserve">р. </w:t>
      </w:r>
      <w:r w:rsidR="00CF3D14" w:rsidRPr="00364B85">
        <w:rPr>
          <w:rFonts w:ascii="Times New Roman" w:hAnsi="Times New Roman" w:cs="Times New Roman"/>
          <w:sz w:val="28"/>
          <w:szCs w:val="28"/>
        </w:rPr>
        <w:t>– 6</w:t>
      </w:r>
      <w:r w:rsidR="000F51B1" w:rsidRPr="00364B85">
        <w:rPr>
          <w:rFonts w:ascii="Times New Roman" w:hAnsi="Times New Roman" w:cs="Times New Roman"/>
          <w:sz w:val="28"/>
          <w:szCs w:val="28"/>
        </w:rPr>
        <w:t>,</w:t>
      </w:r>
      <w:r w:rsidR="00CF3D14" w:rsidRPr="00364B85">
        <w:rPr>
          <w:rFonts w:ascii="Times New Roman" w:hAnsi="Times New Roman" w:cs="Times New Roman"/>
          <w:sz w:val="28"/>
          <w:szCs w:val="28"/>
        </w:rPr>
        <w:t>8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C10F2" w:rsidRDefault="003A7DE1" w:rsidP="000C10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Серед у</w:t>
      </w:r>
      <w:r w:rsidR="00CF3D14" w:rsidRPr="00364B85">
        <w:rPr>
          <w:rFonts w:ascii="Times New Roman" w:hAnsi="Times New Roman" w:cs="Times New Roman"/>
          <w:sz w:val="28"/>
          <w:szCs w:val="28"/>
        </w:rPr>
        <w:t>сіх осіб, які захворіли на ТБ, 59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CF3D14" w:rsidRPr="00364B85">
        <w:rPr>
          <w:rFonts w:ascii="Times New Roman" w:hAnsi="Times New Roman" w:cs="Times New Roman"/>
          <w:sz w:val="28"/>
          <w:szCs w:val="28"/>
        </w:rPr>
        <w:t>4</w:t>
      </w:r>
      <w:r w:rsidRPr="00364B85">
        <w:rPr>
          <w:rFonts w:ascii="Times New Roman" w:hAnsi="Times New Roman" w:cs="Times New Roman"/>
          <w:sz w:val="28"/>
          <w:szCs w:val="28"/>
        </w:rPr>
        <w:t>% складають непрацюючі особи працездатного віку (18</w:t>
      </w:r>
      <w:r w:rsidR="000C10F2">
        <w:rPr>
          <w:rFonts w:ascii="Times New Roman" w:hAnsi="Times New Roman" w:cs="Times New Roman"/>
          <w:sz w:val="28"/>
          <w:szCs w:val="28"/>
        </w:rPr>
        <w:t>-</w:t>
      </w:r>
      <w:r w:rsidRPr="00364B85">
        <w:rPr>
          <w:rFonts w:ascii="Times New Roman" w:hAnsi="Times New Roman" w:cs="Times New Roman"/>
          <w:sz w:val="28"/>
          <w:szCs w:val="28"/>
        </w:rPr>
        <w:t>54 років), в тому числі вікова групу 25</w:t>
      </w:r>
      <w:r w:rsidR="000C10F2">
        <w:rPr>
          <w:rFonts w:ascii="Times New Roman" w:hAnsi="Times New Roman" w:cs="Times New Roman"/>
          <w:sz w:val="28"/>
          <w:szCs w:val="28"/>
        </w:rPr>
        <w:t>-</w:t>
      </w:r>
      <w:r w:rsidRPr="00364B85">
        <w:rPr>
          <w:rFonts w:ascii="Times New Roman" w:hAnsi="Times New Roman" w:cs="Times New Roman"/>
          <w:sz w:val="28"/>
          <w:szCs w:val="28"/>
        </w:rPr>
        <w:t>44 роки складає 5</w:t>
      </w:r>
      <w:r w:rsidR="00CF3D14" w:rsidRPr="00364B85">
        <w:rPr>
          <w:rFonts w:ascii="Times New Roman" w:hAnsi="Times New Roman" w:cs="Times New Roman"/>
          <w:sz w:val="28"/>
          <w:szCs w:val="28"/>
        </w:rPr>
        <w:t>4,5</w:t>
      </w:r>
      <w:r w:rsidRPr="00364B85">
        <w:rPr>
          <w:rFonts w:ascii="Times New Roman" w:hAnsi="Times New Roman" w:cs="Times New Roman"/>
          <w:sz w:val="28"/>
          <w:szCs w:val="28"/>
        </w:rPr>
        <w:t>%, що свідчить про високий соціальний вплив та економічне навантаження, що спричинює ТБ в області.</w:t>
      </w:r>
    </w:p>
    <w:p w:rsidR="000C10F2" w:rsidRDefault="003A7DE1" w:rsidP="000C10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Аналіз соціальної структури нов</w:t>
      </w:r>
      <w:r w:rsidR="000F51B1" w:rsidRPr="00364B85">
        <w:rPr>
          <w:rFonts w:ascii="Times New Roman" w:hAnsi="Times New Roman" w:cs="Times New Roman"/>
          <w:sz w:val="28"/>
          <w:szCs w:val="28"/>
        </w:rPr>
        <w:t>их випадків ТБ у І півріччі 202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демонструє, що серед пацієнтів, які вперше захворіли на ТБ, майже 7</w:t>
      </w:r>
      <w:r w:rsidR="000F51B1" w:rsidRPr="00364B85">
        <w:rPr>
          <w:rFonts w:ascii="Times New Roman" w:hAnsi="Times New Roman" w:cs="Times New Roman"/>
          <w:sz w:val="28"/>
          <w:szCs w:val="28"/>
        </w:rPr>
        <w:t>6,5</w:t>
      </w:r>
      <w:r w:rsidRPr="00364B85">
        <w:rPr>
          <w:rFonts w:ascii="Times New Roman" w:hAnsi="Times New Roman" w:cs="Times New Roman"/>
          <w:sz w:val="28"/>
          <w:szCs w:val="28"/>
        </w:rPr>
        <w:t>% становлять представники соціально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 незахищених верств населення (59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CF3D14" w:rsidRPr="00364B85">
        <w:rPr>
          <w:rFonts w:ascii="Times New Roman" w:hAnsi="Times New Roman" w:cs="Times New Roman"/>
          <w:sz w:val="28"/>
          <w:szCs w:val="28"/>
        </w:rPr>
        <w:t>4</w:t>
      </w:r>
      <w:r w:rsidRPr="00364B85">
        <w:rPr>
          <w:rFonts w:ascii="Times New Roman" w:hAnsi="Times New Roman" w:cs="Times New Roman"/>
          <w:sz w:val="28"/>
          <w:szCs w:val="28"/>
        </w:rPr>
        <w:t xml:space="preserve">% </w:t>
      </w:r>
      <w:r w:rsidR="000C10F2">
        <w:rPr>
          <w:rFonts w:ascii="Times New Roman" w:hAnsi="Times New Roman" w:cs="Times New Roman"/>
          <w:sz w:val="28"/>
          <w:szCs w:val="28"/>
        </w:rPr>
        <w:t>–</w:t>
      </w:r>
      <w:r w:rsidRPr="00364B85">
        <w:rPr>
          <w:rFonts w:ascii="Times New Roman" w:hAnsi="Times New Roman" w:cs="Times New Roman"/>
          <w:sz w:val="28"/>
          <w:szCs w:val="28"/>
        </w:rPr>
        <w:t xml:space="preserve"> непрацюючі працездатного віку, 1</w:t>
      </w:r>
      <w:r w:rsidR="00CF3D14" w:rsidRPr="00364B85">
        <w:rPr>
          <w:rFonts w:ascii="Times New Roman" w:hAnsi="Times New Roman" w:cs="Times New Roman"/>
          <w:sz w:val="28"/>
          <w:szCs w:val="28"/>
        </w:rPr>
        <w:t>0,2</w:t>
      </w:r>
      <w:r w:rsidRPr="00364B85">
        <w:rPr>
          <w:rFonts w:ascii="Times New Roman" w:hAnsi="Times New Roman" w:cs="Times New Roman"/>
          <w:sz w:val="28"/>
          <w:szCs w:val="28"/>
        </w:rPr>
        <w:t xml:space="preserve">% </w:t>
      </w:r>
      <w:r w:rsidR="000C10F2">
        <w:rPr>
          <w:rFonts w:ascii="Times New Roman" w:hAnsi="Times New Roman" w:cs="Times New Roman"/>
          <w:sz w:val="28"/>
          <w:szCs w:val="28"/>
        </w:rPr>
        <w:t>–</w:t>
      </w:r>
      <w:r w:rsidRPr="00364B85">
        <w:rPr>
          <w:rFonts w:ascii="Times New Roman" w:hAnsi="Times New Roman" w:cs="Times New Roman"/>
          <w:sz w:val="28"/>
          <w:szCs w:val="28"/>
        </w:rPr>
        <w:t xml:space="preserve"> пенсіонери, 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% </w:t>
      </w:r>
      <w:r w:rsidR="000C10F2">
        <w:rPr>
          <w:rFonts w:ascii="Times New Roman" w:hAnsi="Times New Roman" w:cs="Times New Roman"/>
          <w:sz w:val="28"/>
          <w:szCs w:val="28"/>
        </w:rPr>
        <w:t xml:space="preserve">– </w:t>
      </w:r>
      <w:r w:rsidRPr="00364B85">
        <w:rPr>
          <w:rFonts w:ascii="Times New Roman" w:hAnsi="Times New Roman" w:cs="Times New Roman"/>
          <w:sz w:val="28"/>
          <w:szCs w:val="28"/>
        </w:rPr>
        <w:t xml:space="preserve">особи, які повернулися з місць позбавлення волі, </w:t>
      </w:r>
      <w:r w:rsidR="00CF3D14" w:rsidRPr="00364B85">
        <w:rPr>
          <w:rFonts w:ascii="Times New Roman" w:hAnsi="Times New Roman" w:cs="Times New Roman"/>
          <w:sz w:val="28"/>
          <w:szCs w:val="28"/>
        </w:rPr>
        <w:t>2</w:t>
      </w:r>
      <w:r w:rsidRPr="00364B85">
        <w:rPr>
          <w:rFonts w:ascii="Times New Roman" w:hAnsi="Times New Roman" w:cs="Times New Roman"/>
          <w:sz w:val="28"/>
          <w:szCs w:val="28"/>
        </w:rPr>
        <w:t xml:space="preserve">% </w:t>
      </w:r>
      <w:r w:rsidR="000C10F2">
        <w:rPr>
          <w:rFonts w:ascii="Times New Roman" w:hAnsi="Times New Roman" w:cs="Times New Roman"/>
          <w:sz w:val="28"/>
          <w:szCs w:val="28"/>
        </w:rPr>
        <w:t>–</w:t>
      </w:r>
      <w:r w:rsidRPr="00364B85">
        <w:rPr>
          <w:rFonts w:ascii="Times New Roman" w:hAnsi="Times New Roman" w:cs="Times New Roman"/>
          <w:sz w:val="28"/>
          <w:szCs w:val="28"/>
        </w:rPr>
        <w:t xml:space="preserve"> особи без постійного місця проживання).</w:t>
      </w:r>
    </w:p>
    <w:p w:rsidR="000C10F2" w:rsidRDefault="00CF3D14" w:rsidP="000C10F2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lastRenderedPageBreak/>
        <w:t>Серед нових випадків ТБ 24</w:t>
      </w:r>
      <w:r w:rsidR="003A7DE1" w:rsidRPr="00364B85">
        <w:rPr>
          <w:rFonts w:ascii="Times New Roman" w:hAnsi="Times New Roman" w:cs="Times New Roman"/>
          <w:sz w:val="28"/>
          <w:szCs w:val="28"/>
        </w:rPr>
        <w:t>,</w:t>
      </w:r>
      <w:r w:rsidRPr="00364B85">
        <w:rPr>
          <w:rFonts w:ascii="Times New Roman" w:hAnsi="Times New Roman" w:cs="Times New Roman"/>
          <w:sz w:val="28"/>
          <w:szCs w:val="28"/>
        </w:rPr>
        <w:t>4</w:t>
      </w:r>
      <w:r w:rsidR="003A7DE1" w:rsidRPr="00364B85">
        <w:rPr>
          <w:rFonts w:ascii="Times New Roman" w:hAnsi="Times New Roman" w:cs="Times New Roman"/>
          <w:sz w:val="28"/>
          <w:szCs w:val="28"/>
        </w:rPr>
        <w:t>% становлять хворі, які зловживають алкоголем та</w:t>
      </w:r>
      <w:r w:rsidRPr="00364B85">
        <w:rPr>
          <w:rFonts w:ascii="Times New Roman" w:hAnsi="Times New Roman" w:cs="Times New Roman"/>
          <w:sz w:val="28"/>
          <w:szCs w:val="28"/>
        </w:rPr>
        <w:t xml:space="preserve"> 3,0</w:t>
      </w:r>
      <w:r w:rsidR="003A7DE1" w:rsidRPr="00364B85">
        <w:rPr>
          <w:rFonts w:ascii="Times New Roman" w:hAnsi="Times New Roman" w:cs="Times New Roman"/>
          <w:sz w:val="28"/>
          <w:szCs w:val="28"/>
        </w:rPr>
        <w:t xml:space="preserve">% – споживачі ін’єкційних наркотиків, що свідчить про нагальну потребу подальшого розвитку в області </w:t>
      </w:r>
      <w:proofErr w:type="spellStart"/>
      <w:r w:rsidR="003A7DE1" w:rsidRPr="00364B85">
        <w:rPr>
          <w:rFonts w:ascii="Times New Roman" w:hAnsi="Times New Roman" w:cs="Times New Roman"/>
          <w:sz w:val="28"/>
          <w:szCs w:val="28"/>
        </w:rPr>
        <w:t>освітньо-профілактичних</w:t>
      </w:r>
      <w:proofErr w:type="spellEnd"/>
      <w:r w:rsidR="003A7DE1" w:rsidRPr="00364B85">
        <w:rPr>
          <w:rFonts w:ascii="Times New Roman" w:hAnsi="Times New Roman" w:cs="Times New Roman"/>
          <w:sz w:val="28"/>
          <w:szCs w:val="28"/>
        </w:rPr>
        <w:t xml:space="preserve"> програм та заходів із соціальної підтримки пацієнтів із забезпеченням активної участі інститутів громадянського суспільства.</w:t>
      </w:r>
    </w:p>
    <w:p w:rsidR="003C7FD4" w:rsidRDefault="003A7DE1" w:rsidP="003C7FD4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Показни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к захворюваності на </w:t>
      </w:r>
      <w:proofErr w:type="spellStart"/>
      <w:r w:rsidR="00843B73">
        <w:rPr>
          <w:rFonts w:ascii="Times New Roman" w:hAnsi="Times New Roman" w:cs="Times New Roman"/>
          <w:sz w:val="28"/>
          <w:szCs w:val="28"/>
        </w:rPr>
        <w:t>ко-інфекцію</w:t>
      </w:r>
      <w:proofErr w:type="spellEnd"/>
      <w:r w:rsidR="00843B73">
        <w:rPr>
          <w:rFonts w:ascii="Times New Roman" w:hAnsi="Times New Roman" w:cs="Times New Roman"/>
          <w:sz w:val="28"/>
          <w:szCs w:val="28"/>
        </w:rPr>
        <w:t xml:space="preserve"> </w:t>
      </w:r>
      <w:r w:rsidR="000F51B1" w:rsidRPr="00364B85">
        <w:rPr>
          <w:rFonts w:ascii="Times New Roman" w:hAnsi="Times New Roman" w:cs="Times New Roman"/>
          <w:sz w:val="28"/>
          <w:szCs w:val="28"/>
        </w:rPr>
        <w:t>ТБ</w:t>
      </w:r>
      <w:r w:rsidR="00843B73">
        <w:rPr>
          <w:rFonts w:ascii="Times New Roman" w:hAnsi="Times New Roman" w:cs="Times New Roman"/>
          <w:sz w:val="28"/>
          <w:szCs w:val="28"/>
        </w:rPr>
        <w:t>/ВІЛ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 у І півріччі 202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становить </w:t>
      </w:r>
      <w:r w:rsidR="00CF3D14" w:rsidRPr="000C10F2">
        <w:rPr>
          <w:rFonts w:ascii="Times New Roman" w:hAnsi="Times New Roman" w:cs="Times New Roman"/>
          <w:b/>
          <w:sz w:val="28"/>
          <w:szCs w:val="28"/>
        </w:rPr>
        <w:t>3</w:t>
      </w:r>
      <w:r w:rsidRPr="000C10F2">
        <w:rPr>
          <w:rFonts w:ascii="Times New Roman" w:hAnsi="Times New Roman" w:cs="Times New Roman"/>
          <w:b/>
          <w:sz w:val="28"/>
          <w:szCs w:val="28"/>
        </w:rPr>
        <w:t>,</w:t>
      </w:r>
      <w:r w:rsidR="00CF3D14" w:rsidRPr="000C10F2">
        <w:rPr>
          <w:rFonts w:ascii="Times New Roman" w:hAnsi="Times New Roman" w:cs="Times New Roman"/>
          <w:b/>
          <w:sz w:val="28"/>
          <w:szCs w:val="28"/>
        </w:rPr>
        <w:t>3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44694B">
        <w:rPr>
          <w:rFonts w:ascii="Times New Roman" w:hAnsi="Times New Roman" w:cs="Times New Roman"/>
          <w:b/>
          <w:sz w:val="28"/>
          <w:szCs w:val="28"/>
        </w:rPr>
        <w:t>на 100</w:t>
      </w:r>
      <w:r w:rsidR="000F51B1" w:rsidRPr="0044694B">
        <w:rPr>
          <w:rFonts w:ascii="Times New Roman" w:hAnsi="Times New Roman" w:cs="Times New Roman"/>
          <w:b/>
          <w:sz w:val="28"/>
          <w:szCs w:val="28"/>
        </w:rPr>
        <w:t xml:space="preserve"> тис. населення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 (І півріччя 2019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– </w:t>
      </w:r>
      <w:r w:rsidR="000F51B1" w:rsidRPr="00364B85">
        <w:rPr>
          <w:rFonts w:ascii="Times New Roman" w:hAnsi="Times New Roman" w:cs="Times New Roman"/>
          <w:sz w:val="28"/>
          <w:szCs w:val="28"/>
        </w:rPr>
        <w:t>5</w:t>
      </w:r>
      <w:r w:rsidRPr="00364B85">
        <w:rPr>
          <w:rFonts w:ascii="Times New Roman" w:hAnsi="Times New Roman" w:cs="Times New Roman"/>
          <w:sz w:val="28"/>
          <w:szCs w:val="28"/>
        </w:rPr>
        <w:t>,</w:t>
      </w:r>
      <w:r w:rsidR="000F51B1" w:rsidRPr="00364B85">
        <w:rPr>
          <w:rFonts w:ascii="Times New Roman" w:hAnsi="Times New Roman" w:cs="Times New Roman"/>
          <w:sz w:val="28"/>
          <w:szCs w:val="28"/>
        </w:rPr>
        <w:t>4</w:t>
      </w:r>
      <w:r w:rsidRPr="00364B85">
        <w:rPr>
          <w:rFonts w:ascii="Times New Roman" w:hAnsi="Times New Roman" w:cs="Times New Roman"/>
          <w:sz w:val="28"/>
          <w:szCs w:val="28"/>
        </w:rPr>
        <w:t xml:space="preserve">, 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І півріччя 2020 р. – 4,9, </w:t>
      </w:r>
      <w:r w:rsidRPr="00364B85">
        <w:rPr>
          <w:rFonts w:ascii="Times New Roman" w:hAnsi="Times New Roman" w:cs="Times New Roman"/>
          <w:sz w:val="28"/>
          <w:szCs w:val="28"/>
        </w:rPr>
        <w:t xml:space="preserve">Україна </w:t>
      </w:r>
      <w:r w:rsidR="000C10F2">
        <w:rPr>
          <w:rFonts w:ascii="Times New Roman" w:hAnsi="Times New Roman" w:cs="Times New Roman"/>
          <w:sz w:val="28"/>
          <w:szCs w:val="28"/>
        </w:rPr>
        <w:t>–</w:t>
      </w:r>
      <w:r w:rsidR="000F51B1" w:rsidRPr="00364B85">
        <w:rPr>
          <w:rFonts w:ascii="Times New Roman" w:hAnsi="Times New Roman" w:cs="Times New Roman"/>
          <w:sz w:val="28"/>
          <w:szCs w:val="28"/>
        </w:rPr>
        <w:t xml:space="preserve"> І півріччя </w:t>
      </w:r>
      <w:r w:rsidRPr="00364B85">
        <w:rPr>
          <w:rFonts w:ascii="Times New Roman" w:hAnsi="Times New Roman" w:cs="Times New Roman"/>
          <w:sz w:val="28"/>
          <w:szCs w:val="28"/>
        </w:rPr>
        <w:t>20</w:t>
      </w:r>
      <w:r w:rsidR="000F51B1" w:rsidRPr="00364B85">
        <w:rPr>
          <w:rFonts w:ascii="Times New Roman" w:hAnsi="Times New Roman" w:cs="Times New Roman"/>
          <w:sz w:val="28"/>
          <w:szCs w:val="28"/>
        </w:rPr>
        <w:t>2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– 3,</w:t>
      </w:r>
      <w:r w:rsidR="00CF3D14" w:rsidRPr="00364B85">
        <w:rPr>
          <w:rFonts w:ascii="Times New Roman" w:hAnsi="Times New Roman" w:cs="Times New Roman"/>
          <w:sz w:val="28"/>
          <w:szCs w:val="28"/>
        </w:rPr>
        <w:t>3</w:t>
      </w:r>
      <w:r w:rsidRPr="00364B85">
        <w:rPr>
          <w:rFonts w:ascii="Times New Roman" w:hAnsi="Times New Roman" w:cs="Times New Roman"/>
          <w:sz w:val="28"/>
          <w:szCs w:val="28"/>
        </w:rPr>
        <w:t>). Смертність від зазнач</w:t>
      </w:r>
      <w:r w:rsidR="000B1283" w:rsidRPr="00364B85">
        <w:rPr>
          <w:rFonts w:ascii="Times New Roman" w:hAnsi="Times New Roman" w:cs="Times New Roman"/>
          <w:sz w:val="28"/>
          <w:szCs w:val="28"/>
        </w:rPr>
        <w:t>е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ної патології </w:t>
      </w:r>
      <w:r w:rsidR="000C10F2">
        <w:rPr>
          <w:rFonts w:ascii="Times New Roman" w:hAnsi="Times New Roman" w:cs="Times New Roman"/>
          <w:sz w:val="28"/>
          <w:szCs w:val="28"/>
        </w:rPr>
        <w:br/>
      </w:r>
      <w:r w:rsidR="00CF3D14" w:rsidRPr="00364B85">
        <w:rPr>
          <w:rFonts w:ascii="Times New Roman" w:hAnsi="Times New Roman" w:cs="Times New Roman"/>
          <w:sz w:val="28"/>
          <w:szCs w:val="28"/>
        </w:rPr>
        <w:t>у І півріччі 2021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станови</w:t>
      </w:r>
      <w:r w:rsidR="003449D1" w:rsidRPr="00364B85">
        <w:rPr>
          <w:rFonts w:ascii="Times New Roman" w:hAnsi="Times New Roman" w:cs="Times New Roman"/>
          <w:sz w:val="28"/>
          <w:szCs w:val="28"/>
        </w:rPr>
        <w:t>ть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0B1283" w:rsidRPr="0044694B">
        <w:rPr>
          <w:rFonts w:ascii="Times New Roman" w:hAnsi="Times New Roman" w:cs="Times New Roman"/>
          <w:b/>
          <w:sz w:val="28"/>
          <w:szCs w:val="28"/>
        </w:rPr>
        <w:t>0</w:t>
      </w:r>
      <w:r w:rsidRPr="0044694B">
        <w:rPr>
          <w:rFonts w:ascii="Times New Roman" w:hAnsi="Times New Roman" w:cs="Times New Roman"/>
          <w:b/>
          <w:sz w:val="28"/>
          <w:szCs w:val="28"/>
        </w:rPr>
        <w:t>,</w:t>
      </w:r>
      <w:r w:rsidR="00CF3D14" w:rsidRPr="0044694B">
        <w:rPr>
          <w:rFonts w:ascii="Times New Roman" w:hAnsi="Times New Roman" w:cs="Times New Roman"/>
          <w:b/>
          <w:sz w:val="28"/>
          <w:szCs w:val="28"/>
        </w:rPr>
        <w:t>2</w:t>
      </w:r>
      <w:r w:rsidR="000B1283" w:rsidRPr="0044694B">
        <w:rPr>
          <w:rFonts w:ascii="Times New Roman" w:hAnsi="Times New Roman" w:cs="Times New Roman"/>
          <w:b/>
          <w:sz w:val="28"/>
          <w:szCs w:val="28"/>
        </w:rPr>
        <w:t xml:space="preserve"> на 100 тис.</w:t>
      </w:r>
      <w:r w:rsidR="0044694B">
        <w:rPr>
          <w:rFonts w:ascii="Times New Roman" w:hAnsi="Times New Roman" w:cs="Times New Roman"/>
          <w:b/>
          <w:sz w:val="28"/>
          <w:szCs w:val="28"/>
        </w:rPr>
        <w:t xml:space="preserve"> населення</w:t>
      </w:r>
      <w:r w:rsidR="000B1283" w:rsidRPr="00364B85">
        <w:rPr>
          <w:rFonts w:ascii="Times New Roman" w:hAnsi="Times New Roman" w:cs="Times New Roman"/>
          <w:sz w:val="28"/>
          <w:szCs w:val="28"/>
        </w:rPr>
        <w:t xml:space="preserve"> (І півріччя 2019</w:t>
      </w:r>
      <w:r w:rsidRPr="00364B85">
        <w:rPr>
          <w:rFonts w:ascii="Times New Roman" w:hAnsi="Times New Roman" w:cs="Times New Roman"/>
          <w:sz w:val="28"/>
          <w:szCs w:val="28"/>
        </w:rPr>
        <w:t xml:space="preserve"> р. – </w:t>
      </w:r>
      <w:r w:rsidR="000B1283" w:rsidRPr="00364B85">
        <w:rPr>
          <w:rFonts w:ascii="Times New Roman" w:hAnsi="Times New Roman" w:cs="Times New Roman"/>
          <w:sz w:val="28"/>
          <w:szCs w:val="28"/>
        </w:rPr>
        <w:t>1,2</w:t>
      </w:r>
      <w:r w:rsidR="00CF3D14" w:rsidRPr="00364B85">
        <w:rPr>
          <w:rFonts w:ascii="Times New Roman" w:hAnsi="Times New Roman" w:cs="Times New Roman"/>
          <w:sz w:val="28"/>
          <w:szCs w:val="28"/>
        </w:rPr>
        <w:t>, І півріччя 2020 р. – 0,8</w:t>
      </w:r>
      <w:r w:rsidRPr="00364B8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3953D6" w:rsidRDefault="000B1283" w:rsidP="003C7FD4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64B85">
        <w:rPr>
          <w:rFonts w:ascii="Times New Roman" w:hAnsi="Times New Roman" w:cs="Times New Roman"/>
          <w:sz w:val="28"/>
          <w:szCs w:val="28"/>
        </w:rPr>
        <w:t>П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оказник смертності від ТБ в області впродовж останніх 5 років </w:t>
      </w:r>
      <w:r w:rsidRPr="00364B85">
        <w:rPr>
          <w:rFonts w:ascii="Times New Roman" w:hAnsi="Times New Roman" w:cs="Times New Roman"/>
          <w:sz w:val="28"/>
          <w:szCs w:val="28"/>
        </w:rPr>
        <w:t xml:space="preserve">має тенденцію до зниження </w:t>
      </w:r>
      <w:r w:rsidR="003953D6" w:rsidRPr="00364B85">
        <w:rPr>
          <w:rFonts w:ascii="Times New Roman" w:hAnsi="Times New Roman" w:cs="Times New Roman"/>
          <w:sz w:val="28"/>
          <w:szCs w:val="28"/>
        </w:rPr>
        <w:t>(2011 р. – 10,5 на 100 тис. нас</w:t>
      </w:r>
      <w:r w:rsidR="0044694B">
        <w:rPr>
          <w:rFonts w:ascii="Times New Roman" w:hAnsi="Times New Roman" w:cs="Times New Roman"/>
          <w:sz w:val="28"/>
          <w:szCs w:val="28"/>
        </w:rPr>
        <w:t>елення</w:t>
      </w:r>
      <w:r w:rsidR="003953D6" w:rsidRPr="00364B85">
        <w:rPr>
          <w:rFonts w:ascii="Times New Roman" w:hAnsi="Times New Roman" w:cs="Times New Roman"/>
          <w:sz w:val="28"/>
          <w:szCs w:val="28"/>
        </w:rPr>
        <w:t>, 2016 р. – 9,</w:t>
      </w:r>
      <w:r w:rsidRPr="00364B85">
        <w:rPr>
          <w:rFonts w:ascii="Times New Roman" w:hAnsi="Times New Roman" w:cs="Times New Roman"/>
          <w:sz w:val="28"/>
          <w:szCs w:val="28"/>
        </w:rPr>
        <w:t>3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, 2017 р. – </w:t>
      </w:r>
      <w:r w:rsidRPr="00364B85">
        <w:rPr>
          <w:rFonts w:ascii="Times New Roman" w:hAnsi="Times New Roman" w:cs="Times New Roman"/>
          <w:sz w:val="28"/>
          <w:szCs w:val="28"/>
        </w:rPr>
        <w:t>9</w:t>
      </w:r>
      <w:r w:rsidR="003953D6" w:rsidRPr="00364B85">
        <w:rPr>
          <w:rFonts w:ascii="Times New Roman" w:hAnsi="Times New Roman" w:cs="Times New Roman"/>
          <w:sz w:val="28"/>
          <w:szCs w:val="28"/>
        </w:rPr>
        <w:t>,</w:t>
      </w:r>
      <w:r w:rsidRPr="00364B85">
        <w:rPr>
          <w:rFonts w:ascii="Times New Roman" w:hAnsi="Times New Roman" w:cs="Times New Roman"/>
          <w:sz w:val="28"/>
          <w:szCs w:val="28"/>
        </w:rPr>
        <w:t>8</w:t>
      </w:r>
      <w:r w:rsidR="003953D6" w:rsidRPr="00364B85">
        <w:rPr>
          <w:rFonts w:ascii="Times New Roman" w:hAnsi="Times New Roman" w:cs="Times New Roman"/>
          <w:sz w:val="28"/>
          <w:szCs w:val="28"/>
        </w:rPr>
        <w:t>, 201</w:t>
      </w:r>
      <w:r w:rsidRPr="00364B85">
        <w:rPr>
          <w:rFonts w:ascii="Times New Roman" w:hAnsi="Times New Roman" w:cs="Times New Roman"/>
          <w:sz w:val="28"/>
          <w:szCs w:val="28"/>
        </w:rPr>
        <w:t>8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 р. – </w:t>
      </w:r>
      <w:r w:rsidRPr="00364B85">
        <w:rPr>
          <w:rFonts w:ascii="Times New Roman" w:hAnsi="Times New Roman" w:cs="Times New Roman"/>
          <w:sz w:val="28"/>
          <w:szCs w:val="28"/>
        </w:rPr>
        <w:t>8</w:t>
      </w:r>
      <w:r w:rsidR="003953D6" w:rsidRPr="00364B85">
        <w:rPr>
          <w:rFonts w:ascii="Times New Roman" w:hAnsi="Times New Roman" w:cs="Times New Roman"/>
          <w:sz w:val="28"/>
          <w:szCs w:val="28"/>
        </w:rPr>
        <w:t>,</w:t>
      </w:r>
      <w:r w:rsidRPr="00364B85">
        <w:rPr>
          <w:rFonts w:ascii="Times New Roman" w:hAnsi="Times New Roman" w:cs="Times New Roman"/>
          <w:sz w:val="28"/>
          <w:szCs w:val="28"/>
        </w:rPr>
        <w:t>4, 2019 р. – 7,3, І пів</w:t>
      </w:r>
      <w:r w:rsidR="00B81A1E">
        <w:rPr>
          <w:rFonts w:ascii="Times New Roman" w:hAnsi="Times New Roman" w:cs="Times New Roman"/>
          <w:sz w:val="28"/>
          <w:szCs w:val="28"/>
        </w:rPr>
        <w:t>річчя</w:t>
      </w:r>
      <w:r w:rsidRPr="00364B85">
        <w:rPr>
          <w:rFonts w:ascii="Times New Roman" w:hAnsi="Times New Roman" w:cs="Times New Roman"/>
          <w:sz w:val="28"/>
          <w:szCs w:val="28"/>
        </w:rPr>
        <w:t xml:space="preserve"> 2019 р. – 3,05</w:t>
      </w:r>
      <w:r w:rsidR="00CF3D14" w:rsidRPr="00364B85">
        <w:rPr>
          <w:rFonts w:ascii="Times New Roman" w:hAnsi="Times New Roman" w:cs="Times New Roman"/>
          <w:sz w:val="28"/>
          <w:szCs w:val="28"/>
        </w:rPr>
        <w:t>, І пів</w:t>
      </w:r>
      <w:r w:rsidR="00B81A1E">
        <w:rPr>
          <w:rFonts w:ascii="Times New Roman" w:hAnsi="Times New Roman" w:cs="Times New Roman"/>
          <w:sz w:val="28"/>
          <w:szCs w:val="28"/>
        </w:rPr>
        <w:t>річчя</w:t>
      </w:r>
      <w:r w:rsidR="00CF3D14" w:rsidRPr="00364B85">
        <w:rPr>
          <w:rFonts w:ascii="Times New Roman" w:hAnsi="Times New Roman" w:cs="Times New Roman"/>
          <w:sz w:val="28"/>
          <w:szCs w:val="28"/>
        </w:rPr>
        <w:t xml:space="preserve"> 2020 </w:t>
      </w:r>
      <w:r w:rsidR="00B81A1E">
        <w:rPr>
          <w:rFonts w:ascii="Times New Roman" w:hAnsi="Times New Roman" w:cs="Times New Roman"/>
          <w:sz w:val="28"/>
          <w:szCs w:val="28"/>
        </w:rPr>
        <w:t xml:space="preserve">р. </w:t>
      </w:r>
      <w:r w:rsidR="00CF3D14" w:rsidRPr="00364B85">
        <w:rPr>
          <w:rFonts w:ascii="Times New Roman" w:hAnsi="Times New Roman" w:cs="Times New Roman"/>
          <w:sz w:val="28"/>
          <w:szCs w:val="28"/>
        </w:rPr>
        <w:t>– 3,25</w:t>
      </w:r>
      <w:r w:rsidRPr="00364B85">
        <w:rPr>
          <w:rFonts w:ascii="Times New Roman" w:hAnsi="Times New Roman" w:cs="Times New Roman"/>
          <w:sz w:val="28"/>
          <w:szCs w:val="28"/>
        </w:rPr>
        <w:t xml:space="preserve">). Разом з тим, 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рівень смертності </w:t>
      </w:r>
      <w:r w:rsidRPr="00364B85">
        <w:rPr>
          <w:rFonts w:ascii="Times New Roman" w:hAnsi="Times New Roman" w:cs="Times New Roman"/>
          <w:sz w:val="28"/>
          <w:szCs w:val="28"/>
        </w:rPr>
        <w:t xml:space="preserve">від </w:t>
      </w:r>
      <w:r w:rsidR="003953D6" w:rsidRPr="00364B85">
        <w:rPr>
          <w:rFonts w:ascii="Times New Roman" w:hAnsi="Times New Roman" w:cs="Times New Roman"/>
          <w:sz w:val="28"/>
          <w:szCs w:val="28"/>
        </w:rPr>
        <w:t>ТБ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B81A1E">
        <w:rPr>
          <w:rFonts w:ascii="Times New Roman" w:hAnsi="Times New Roman" w:cs="Times New Roman"/>
          <w:sz w:val="28"/>
          <w:szCs w:val="28"/>
        </w:rPr>
        <w:t>у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 І півріччі 20</w:t>
      </w:r>
      <w:r w:rsidRPr="00364B85">
        <w:rPr>
          <w:rFonts w:ascii="Times New Roman" w:hAnsi="Times New Roman" w:cs="Times New Roman"/>
          <w:sz w:val="28"/>
          <w:szCs w:val="28"/>
        </w:rPr>
        <w:t>2</w:t>
      </w:r>
      <w:r w:rsidR="00CF3D14" w:rsidRPr="00364B85">
        <w:rPr>
          <w:rFonts w:ascii="Times New Roman" w:hAnsi="Times New Roman" w:cs="Times New Roman"/>
          <w:sz w:val="28"/>
          <w:szCs w:val="28"/>
        </w:rPr>
        <w:t>1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="00B81A1E">
        <w:rPr>
          <w:rFonts w:ascii="Times New Roman" w:hAnsi="Times New Roman" w:cs="Times New Roman"/>
          <w:sz w:val="28"/>
          <w:szCs w:val="28"/>
        </w:rPr>
        <w:t>р.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364B85">
        <w:rPr>
          <w:rFonts w:ascii="Times New Roman" w:hAnsi="Times New Roman" w:cs="Times New Roman"/>
          <w:sz w:val="28"/>
          <w:szCs w:val="28"/>
        </w:rPr>
        <w:t xml:space="preserve">зріс на </w:t>
      </w:r>
      <w:r w:rsidRPr="00B81A1E">
        <w:rPr>
          <w:rFonts w:ascii="Times New Roman" w:hAnsi="Times New Roman" w:cs="Times New Roman"/>
          <w:b/>
          <w:sz w:val="28"/>
          <w:szCs w:val="28"/>
        </w:rPr>
        <w:t>6,6%</w:t>
      </w:r>
      <w:r w:rsidRPr="00364B85">
        <w:rPr>
          <w:rFonts w:ascii="Times New Roman" w:hAnsi="Times New Roman" w:cs="Times New Roman"/>
          <w:sz w:val="28"/>
          <w:szCs w:val="28"/>
        </w:rPr>
        <w:t xml:space="preserve"> порівняно </w:t>
      </w:r>
      <w:r w:rsidR="00B81A1E">
        <w:rPr>
          <w:rFonts w:ascii="Times New Roman" w:hAnsi="Times New Roman" w:cs="Times New Roman"/>
          <w:sz w:val="28"/>
          <w:szCs w:val="28"/>
        </w:rPr>
        <w:br/>
      </w:r>
      <w:r w:rsidRPr="00364B85">
        <w:rPr>
          <w:rFonts w:ascii="Times New Roman" w:hAnsi="Times New Roman" w:cs="Times New Roman"/>
          <w:sz w:val="28"/>
          <w:szCs w:val="28"/>
        </w:rPr>
        <w:t xml:space="preserve">з аналогічним періодом минулого року і </w:t>
      </w:r>
      <w:r w:rsidR="003953D6" w:rsidRPr="00364B85">
        <w:rPr>
          <w:rFonts w:ascii="Times New Roman" w:hAnsi="Times New Roman" w:cs="Times New Roman"/>
          <w:sz w:val="28"/>
          <w:szCs w:val="28"/>
        </w:rPr>
        <w:t xml:space="preserve">становить </w:t>
      </w:r>
      <w:r w:rsidRPr="00B81A1E">
        <w:rPr>
          <w:rFonts w:ascii="Times New Roman" w:hAnsi="Times New Roman" w:cs="Times New Roman"/>
          <w:b/>
          <w:sz w:val="28"/>
          <w:szCs w:val="28"/>
        </w:rPr>
        <w:t>3</w:t>
      </w:r>
      <w:r w:rsidR="003953D6" w:rsidRPr="00B81A1E">
        <w:rPr>
          <w:rFonts w:ascii="Times New Roman" w:hAnsi="Times New Roman" w:cs="Times New Roman"/>
          <w:b/>
          <w:sz w:val="28"/>
          <w:szCs w:val="28"/>
        </w:rPr>
        <w:t>,</w:t>
      </w:r>
      <w:r w:rsidRPr="00B81A1E">
        <w:rPr>
          <w:rFonts w:ascii="Times New Roman" w:hAnsi="Times New Roman" w:cs="Times New Roman"/>
          <w:b/>
          <w:sz w:val="28"/>
          <w:szCs w:val="28"/>
        </w:rPr>
        <w:t>25</w:t>
      </w:r>
      <w:r w:rsidRPr="00364B85">
        <w:rPr>
          <w:rFonts w:ascii="Times New Roman" w:hAnsi="Times New Roman" w:cs="Times New Roman"/>
          <w:sz w:val="28"/>
          <w:szCs w:val="28"/>
        </w:rPr>
        <w:t xml:space="preserve"> </w:t>
      </w:r>
      <w:r w:rsidRPr="0044694B">
        <w:rPr>
          <w:rFonts w:ascii="Times New Roman" w:hAnsi="Times New Roman" w:cs="Times New Roman"/>
          <w:b/>
          <w:sz w:val="28"/>
          <w:szCs w:val="28"/>
        </w:rPr>
        <w:t>на 100 тис. населення</w:t>
      </w:r>
      <w:r w:rsidRPr="00364B85">
        <w:rPr>
          <w:rFonts w:ascii="Times New Roman" w:hAnsi="Times New Roman" w:cs="Times New Roman"/>
          <w:sz w:val="28"/>
          <w:szCs w:val="28"/>
        </w:rPr>
        <w:t>.</w:t>
      </w:r>
    </w:p>
    <w:p w:rsidR="00B81A1E" w:rsidRPr="00364B85" w:rsidRDefault="00B81A1E" w:rsidP="003C7FD4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6BE9" w:rsidRPr="005C44DC" w:rsidRDefault="001C6BE9" w:rsidP="003953D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408752" cy="3625795"/>
            <wp:effectExtent l="0" t="0" r="11430" b="1333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B81A1E" w:rsidRDefault="003953D6" w:rsidP="00B81A1E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Найвищий рівень смертності від</w:t>
      </w:r>
      <w:r w:rsidR="0010078E" w:rsidRPr="00B81A1E">
        <w:rPr>
          <w:rFonts w:ascii="Times New Roman" w:hAnsi="Times New Roman" w:cs="Times New Roman"/>
          <w:sz w:val="28"/>
          <w:szCs w:val="28"/>
        </w:rPr>
        <w:t xml:space="preserve"> ТБ у І півріччі 202</w:t>
      </w:r>
      <w:r w:rsidR="00AC5380" w:rsidRPr="00B81A1E">
        <w:rPr>
          <w:rFonts w:ascii="Times New Roman" w:hAnsi="Times New Roman" w:cs="Times New Roman"/>
          <w:sz w:val="28"/>
          <w:szCs w:val="28"/>
        </w:rPr>
        <w:t>1</w:t>
      </w:r>
      <w:r w:rsidRPr="00B81A1E">
        <w:rPr>
          <w:rFonts w:ascii="Times New Roman" w:hAnsi="Times New Roman" w:cs="Times New Roman"/>
          <w:sz w:val="28"/>
          <w:szCs w:val="28"/>
        </w:rPr>
        <w:t xml:space="preserve"> р. зареєстровано </w:t>
      </w:r>
      <w:r w:rsidR="00B81A1E">
        <w:rPr>
          <w:rFonts w:ascii="Times New Roman" w:hAnsi="Times New Roman" w:cs="Times New Roman"/>
          <w:sz w:val="28"/>
          <w:szCs w:val="28"/>
        </w:rPr>
        <w:br/>
      </w:r>
      <w:r w:rsidRPr="00B81A1E">
        <w:rPr>
          <w:rFonts w:ascii="Times New Roman" w:hAnsi="Times New Roman" w:cs="Times New Roman"/>
          <w:sz w:val="28"/>
          <w:szCs w:val="28"/>
        </w:rPr>
        <w:t xml:space="preserve">у </w:t>
      </w:r>
      <w:r w:rsidR="0010078E" w:rsidRPr="00B81A1E">
        <w:rPr>
          <w:rFonts w:ascii="Times New Roman" w:hAnsi="Times New Roman" w:cs="Times New Roman"/>
          <w:sz w:val="28"/>
          <w:szCs w:val="28"/>
        </w:rPr>
        <w:t>Смілянськ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r w:rsidRPr="00B81A1E">
        <w:rPr>
          <w:rFonts w:ascii="Times New Roman" w:hAnsi="Times New Roman" w:cs="Times New Roman"/>
          <w:sz w:val="28"/>
          <w:szCs w:val="28"/>
        </w:rPr>
        <w:t xml:space="preserve"> (</w:t>
      </w:r>
      <w:r w:rsidR="0010078E" w:rsidRPr="00B81A1E">
        <w:rPr>
          <w:rFonts w:ascii="Times New Roman" w:hAnsi="Times New Roman" w:cs="Times New Roman"/>
          <w:sz w:val="28"/>
          <w:szCs w:val="28"/>
        </w:rPr>
        <w:t>9</w:t>
      </w:r>
      <w:r w:rsidRPr="00B81A1E">
        <w:rPr>
          <w:rFonts w:ascii="Times New Roman" w:hAnsi="Times New Roman" w:cs="Times New Roman"/>
          <w:sz w:val="28"/>
          <w:szCs w:val="28"/>
        </w:rPr>
        <w:t>,</w:t>
      </w:r>
      <w:r w:rsidR="00AC5380" w:rsidRPr="00B81A1E">
        <w:rPr>
          <w:rFonts w:ascii="Times New Roman" w:hAnsi="Times New Roman" w:cs="Times New Roman"/>
          <w:sz w:val="28"/>
          <w:szCs w:val="28"/>
        </w:rPr>
        <w:t>68</w:t>
      </w:r>
      <w:r w:rsidRPr="00B81A1E">
        <w:rPr>
          <w:rFonts w:ascii="Times New Roman" w:hAnsi="Times New Roman" w:cs="Times New Roman"/>
          <w:sz w:val="28"/>
          <w:szCs w:val="28"/>
        </w:rPr>
        <w:t xml:space="preserve"> на 100 тис.</w:t>
      </w:r>
      <w:r w:rsidR="0044694B">
        <w:rPr>
          <w:rFonts w:ascii="Times New Roman" w:hAnsi="Times New Roman" w:cs="Times New Roman"/>
          <w:sz w:val="28"/>
          <w:szCs w:val="28"/>
        </w:rPr>
        <w:t xml:space="preserve"> населення</w:t>
      </w:r>
      <w:r w:rsidRPr="00B81A1E">
        <w:rPr>
          <w:rFonts w:ascii="Times New Roman" w:hAnsi="Times New Roman" w:cs="Times New Roman"/>
          <w:sz w:val="28"/>
          <w:szCs w:val="28"/>
        </w:rPr>
        <w:t xml:space="preserve">), </w:t>
      </w:r>
      <w:proofErr w:type="spellStart"/>
      <w:r w:rsidR="00D6362C" w:rsidRPr="00B81A1E">
        <w:rPr>
          <w:rFonts w:ascii="Times New Roman" w:hAnsi="Times New Roman" w:cs="Times New Roman"/>
          <w:sz w:val="28"/>
          <w:szCs w:val="28"/>
        </w:rPr>
        <w:t>Христинівськ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D6362C" w:rsidRPr="00B81A1E">
        <w:rPr>
          <w:rFonts w:ascii="Times New Roman" w:hAnsi="Times New Roman" w:cs="Times New Roman"/>
          <w:sz w:val="28"/>
          <w:szCs w:val="28"/>
        </w:rPr>
        <w:t xml:space="preserve"> (9,02), </w:t>
      </w:r>
      <w:proofErr w:type="spellStart"/>
      <w:r w:rsidR="00D6362C" w:rsidRPr="00B81A1E">
        <w:rPr>
          <w:rFonts w:ascii="Times New Roman" w:hAnsi="Times New Roman" w:cs="Times New Roman"/>
          <w:b/>
          <w:sz w:val="28"/>
          <w:szCs w:val="28"/>
          <w:u w:val="single"/>
        </w:rPr>
        <w:t>Маньківськ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ій</w:t>
      </w:r>
      <w:proofErr w:type="spellEnd"/>
      <w:r w:rsidR="00D6362C" w:rsidRPr="00B81A1E">
        <w:rPr>
          <w:rFonts w:ascii="Times New Roman" w:hAnsi="Times New Roman" w:cs="Times New Roman"/>
          <w:b/>
          <w:sz w:val="28"/>
          <w:szCs w:val="28"/>
          <w:u w:val="single"/>
        </w:rPr>
        <w:t xml:space="preserve"> (7,69)</w:t>
      </w:r>
      <w:r w:rsidR="00A87355" w:rsidRPr="00A87355">
        <w:rPr>
          <w:rFonts w:ascii="Times New Roman" w:hAnsi="Times New Roman" w:cs="Times New Roman"/>
          <w:sz w:val="28"/>
          <w:szCs w:val="28"/>
        </w:rPr>
        <w:t xml:space="preserve"> територіальних громадах</w:t>
      </w:r>
      <w:r w:rsidR="00A87355" w:rsidRPr="00A87355">
        <w:rPr>
          <w:rFonts w:ascii="Times New Roman" w:hAnsi="Times New Roman" w:cs="Times New Roman"/>
          <w:b/>
          <w:sz w:val="28"/>
          <w:szCs w:val="28"/>
        </w:rPr>
        <w:t>.</w:t>
      </w:r>
      <w:r w:rsidRPr="00B8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0078E" w:rsidRDefault="0010078E" w:rsidP="00B81A1E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Звертає на себе увагу зростання смертності до 1 року спостереження, а саме даний показник в І півріччі 202</w:t>
      </w:r>
      <w:r w:rsidR="00E91009" w:rsidRPr="00B81A1E">
        <w:rPr>
          <w:rFonts w:ascii="Times New Roman" w:hAnsi="Times New Roman" w:cs="Times New Roman"/>
          <w:sz w:val="28"/>
          <w:szCs w:val="28"/>
        </w:rPr>
        <w:t>1</w:t>
      </w:r>
      <w:r w:rsidRPr="00B81A1E">
        <w:rPr>
          <w:rFonts w:ascii="Times New Roman" w:hAnsi="Times New Roman" w:cs="Times New Roman"/>
          <w:sz w:val="28"/>
          <w:szCs w:val="28"/>
        </w:rPr>
        <w:t xml:space="preserve"> року зріс </w:t>
      </w:r>
      <w:r w:rsidR="00E91009" w:rsidRPr="00B81A1E">
        <w:rPr>
          <w:rFonts w:ascii="Times New Roman" w:hAnsi="Times New Roman" w:cs="Times New Roman"/>
          <w:sz w:val="28"/>
          <w:szCs w:val="28"/>
        </w:rPr>
        <w:t xml:space="preserve">в </w:t>
      </w:r>
      <w:r w:rsidR="00E91009" w:rsidRPr="0044694B">
        <w:rPr>
          <w:rFonts w:ascii="Times New Roman" w:hAnsi="Times New Roman" w:cs="Times New Roman"/>
          <w:b/>
          <w:sz w:val="28"/>
          <w:szCs w:val="28"/>
        </w:rPr>
        <w:t>1,7 рази</w:t>
      </w:r>
      <w:r w:rsidRPr="00B81A1E">
        <w:rPr>
          <w:rFonts w:ascii="Times New Roman" w:hAnsi="Times New Roman" w:cs="Times New Roman"/>
          <w:sz w:val="28"/>
          <w:szCs w:val="28"/>
        </w:rPr>
        <w:t xml:space="preserve"> порівняно з аналогічним періодом минулого року і становить </w:t>
      </w:r>
      <w:r w:rsidR="00E91009" w:rsidRPr="0044694B">
        <w:rPr>
          <w:rFonts w:ascii="Times New Roman" w:hAnsi="Times New Roman" w:cs="Times New Roman"/>
          <w:b/>
          <w:sz w:val="28"/>
          <w:szCs w:val="28"/>
        </w:rPr>
        <w:t>1</w:t>
      </w:r>
      <w:r w:rsidRPr="0044694B">
        <w:rPr>
          <w:rFonts w:ascii="Times New Roman" w:hAnsi="Times New Roman" w:cs="Times New Roman"/>
          <w:b/>
          <w:sz w:val="28"/>
          <w:szCs w:val="28"/>
        </w:rPr>
        <w:t>,</w:t>
      </w:r>
      <w:r w:rsidR="00E91009" w:rsidRPr="0044694B">
        <w:rPr>
          <w:rFonts w:ascii="Times New Roman" w:hAnsi="Times New Roman" w:cs="Times New Roman"/>
          <w:b/>
          <w:sz w:val="28"/>
          <w:szCs w:val="28"/>
        </w:rPr>
        <w:t>3</w:t>
      </w:r>
      <w:r w:rsidRPr="004469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1009" w:rsidRPr="0044694B">
        <w:rPr>
          <w:rFonts w:ascii="Times New Roman" w:hAnsi="Times New Roman" w:cs="Times New Roman"/>
          <w:b/>
          <w:sz w:val="28"/>
          <w:szCs w:val="28"/>
        </w:rPr>
        <w:t>на 100 тис. населення</w:t>
      </w:r>
      <w:r w:rsidR="00E91009" w:rsidRPr="00B81A1E">
        <w:rPr>
          <w:rFonts w:ascii="Times New Roman" w:hAnsi="Times New Roman" w:cs="Times New Roman"/>
          <w:sz w:val="28"/>
          <w:szCs w:val="28"/>
        </w:rPr>
        <w:t xml:space="preserve"> проти 0,75 </w:t>
      </w:r>
      <w:r w:rsidR="00B81A1E">
        <w:rPr>
          <w:rFonts w:ascii="Times New Roman" w:hAnsi="Times New Roman" w:cs="Times New Roman"/>
          <w:sz w:val="28"/>
          <w:szCs w:val="28"/>
        </w:rPr>
        <w:br/>
      </w:r>
      <w:r w:rsidR="00E91009" w:rsidRPr="00B81A1E">
        <w:rPr>
          <w:rFonts w:ascii="Times New Roman" w:hAnsi="Times New Roman" w:cs="Times New Roman"/>
          <w:sz w:val="28"/>
          <w:szCs w:val="28"/>
        </w:rPr>
        <w:t>(І пів</w:t>
      </w:r>
      <w:r w:rsidR="00B81A1E">
        <w:rPr>
          <w:rFonts w:ascii="Times New Roman" w:hAnsi="Times New Roman" w:cs="Times New Roman"/>
          <w:sz w:val="28"/>
          <w:szCs w:val="28"/>
        </w:rPr>
        <w:t>річчя</w:t>
      </w:r>
      <w:r w:rsidR="00E91009" w:rsidRPr="00B81A1E">
        <w:rPr>
          <w:rFonts w:ascii="Times New Roman" w:hAnsi="Times New Roman" w:cs="Times New Roman"/>
          <w:sz w:val="28"/>
          <w:szCs w:val="28"/>
        </w:rPr>
        <w:t xml:space="preserve"> 2019 р. – 0,58)</w:t>
      </w:r>
      <w:r w:rsidRPr="00B81A1E">
        <w:rPr>
          <w:rFonts w:ascii="Times New Roman" w:hAnsi="Times New Roman" w:cs="Times New Roman"/>
          <w:sz w:val="28"/>
          <w:szCs w:val="28"/>
        </w:rPr>
        <w:t>.</w:t>
      </w:r>
    </w:p>
    <w:p w:rsidR="00B81A1E" w:rsidRDefault="00B81A1E" w:rsidP="00B81A1E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0078E" w:rsidRDefault="0010078E" w:rsidP="003953D6">
      <w:pPr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656107">
        <w:rPr>
          <w:rFonts w:ascii="Times New Roman" w:hAnsi="Times New Roman" w:cs="Times New Roman"/>
          <w:bCs/>
          <w:i/>
          <w:noProof/>
          <w:color w:val="000000" w:themeColor="text1"/>
          <w:sz w:val="24"/>
          <w:szCs w:val="24"/>
          <w:lang w:val="ru-RU" w:eastAsia="ru-RU"/>
        </w:rPr>
        <w:lastRenderedPageBreak/>
        <w:drawing>
          <wp:inline distT="0" distB="0" distL="0" distR="0" wp14:anchorId="05E9A4B9" wp14:editId="6F60F930">
            <wp:extent cx="6376946" cy="3260034"/>
            <wp:effectExtent l="0" t="0" r="24130" b="17145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5C44DC" w:rsidRPr="00B81A1E" w:rsidRDefault="005C44DC" w:rsidP="00B81A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A1E">
        <w:rPr>
          <w:rFonts w:ascii="Times New Roman" w:hAnsi="Times New Roman" w:cs="Times New Roman"/>
          <w:b/>
          <w:sz w:val="28"/>
          <w:szCs w:val="28"/>
        </w:rPr>
        <w:t>Виявлення та діагностика ТБ</w:t>
      </w:r>
    </w:p>
    <w:p w:rsidR="00B81A1E" w:rsidRDefault="005C44DC" w:rsidP="00B81A1E">
      <w:pPr>
        <w:spacing w:after="0" w:line="240" w:lineRule="auto"/>
        <w:ind w:right="-426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Одним із основних завдань щодо забезпечення контролю над ТБ є раннє виявлення випадків захворювання. </w:t>
      </w:r>
    </w:p>
    <w:p w:rsidR="00B81A1E" w:rsidRDefault="00CA2F8C" w:rsidP="00B81A1E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Основну роль у ранньому виявленні туберкульозу серед населення області відіграють </w:t>
      </w:r>
      <w:r w:rsidR="00B81A1E">
        <w:rPr>
          <w:rFonts w:ascii="Times New Roman" w:hAnsi="Times New Roman" w:cs="Times New Roman"/>
          <w:sz w:val="28"/>
          <w:szCs w:val="28"/>
        </w:rPr>
        <w:t>у</w:t>
      </w:r>
      <w:r w:rsidRPr="00B81A1E">
        <w:rPr>
          <w:rFonts w:ascii="Times New Roman" w:hAnsi="Times New Roman" w:cs="Times New Roman"/>
          <w:sz w:val="28"/>
          <w:szCs w:val="28"/>
        </w:rPr>
        <w:t xml:space="preserve"> першу чергу медичні працівники </w:t>
      </w:r>
      <w:r w:rsidR="0044694B">
        <w:rPr>
          <w:rFonts w:ascii="Times New Roman" w:hAnsi="Times New Roman" w:cs="Times New Roman"/>
          <w:sz w:val="28"/>
          <w:szCs w:val="28"/>
        </w:rPr>
        <w:t>ц</w:t>
      </w:r>
      <w:r w:rsidRPr="00B81A1E">
        <w:rPr>
          <w:rFonts w:ascii="Times New Roman" w:hAnsi="Times New Roman" w:cs="Times New Roman"/>
          <w:sz w:val="28"/>
          <w:szCs w:val="28"/>
        </w:rPr>
        <w:t xml:space="preserve">ентрів ПМСД, роль яких полягає у виявленні симптомів туберкульозу, в т.ч. з використанням </w:t>
      </w:r>
      <w:proofErr w:type="spellStart"/>
      <w:r w:rsidRPr="00B81A1E">
        <w:rPr>
          <w:rFonts w:ascii="Times New Roman" w:hAnsi="Times New Roman" w:cs="Times New Roman"/>
          <w:sz w:val="28"/>
          <w:szCs w:val="28"/>
        </w:rPr>
        <w:t>скринінгового</w:t>
      </w:r>
      <w:proofErr w:type="spellEnd"/>
      <w:r w:rsidRPr="00B81A1E">
        <w:rPr>
          <w:rFonts w:ascii="Times New Roman" w:hAnsi="Times New Roman" w:cs="Times New Roman"/>
          <w:sz w:val="28"/>
          <w:szCs w:val="28"/>
        </w:rPr>
        <w:t xml:space="preserve"> анкетування, насамперед осіб віднесених до груп ризику, а також залучення до виявлення та обстеження контактних по туберкульозу осіб спільно із фтизіатричною службою (наказ МОЗ України від 25.02.2020 №</w:t>
      </w:r>
      <w:r w:rsidR="00A87355">
        <w:t> </w:t>
      </w:r>
      <w:r w:rsidRPr="00B81A1E">
        <w:rPr>
          <w:rFonts w:ascii="Times New Roman" w:hAnsi="Times New Roman" w:cs="Times New Roman"/>
          <w:sz w:val="28"/>
          <w:szCs w:val="28"/>
        </w:rPr>
        <w:t>530 та наказ МОЗ України від 19.03.2018 №</w:t>
      </w:r>
      <w:r w:rsidR="00A87355">
        <w:rPr>
          <w:rFonts w:ascii="Times New Roman" w:hAnsi="Times New Roman" w:cs="Times New Roman"/>
          <w:sz w:val="28"/>
          <w:szCs w:val="28"/>
        </w:rPr>
        <w:t> </w:t>
      </w:r>
      <w:r w:rsidRPr="00B81A1E">
        <w:rPr>
          <w:rFonts w:ascii="Times New Roman" w:hAnsi="Times New Roman" w:cs="Times New Roman"/>
          <w:sz w:val="28"/>
          <w:szCs w:val="28"/>
        </w:rPr>
        <w:t xml:space="preserve">504). Важливо розуміти, що своєчасне виявлення симптомів туберкульозу та скерування на діагностику туберкульозу </w:t>
      </w:r>
      <w:r w:rsidR="00B81A1E">
        <w:rPr>
          <w:rFonts w:ascii="Times New Roman" w:hAnsi="Times New Roman" w:cs="Times New Roman"/>
          <w:sz w:val="28"/>
          <w:szCs w:val="28"/>
        </w:rPr>
        <w:t xml:space="preserve">– завдання </w:t>
      </w:r>
      <w:r w:rsidRPr="00B81A1E">
        <w:rPr>
          <w:rFonts w:ascii="Times New Roman" w:hAnsi="Times New Roman" w:cs="Times New Roman"/>
          <w:sz w:val="28"/>
          <w:szCs w:val="28"/>
        </w:rPr>
        <w:t xml:space="preserve">всіх рівнів надання медичної допомоги. </w:t>
      </w:r>
    </w:p>
    <w:p w:rsidR="002C1857" w:rsidRDefault="00F50B73" w:rsidP="002C185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За результатами моніторингових візитів в заклади області протягом І півріччя 2021</w:t>
      </w:r>
      <w:r w:rsidR="00B81A1E">
        <w:rPr>
          <w:rFonts w:ascii="Times New Roman" w:hAnsi="Times New Roman" w:cs="Times New Roman"/>
          <w:sz w:val="28"/>
          <w:szCs w:val="28"/>
        </w:rPr>
        <w:t> </w:t>
      </w:r>
      <w:r w:rsidRPr="00B81A1E">
        <w:rPr>
          <w:rFonts w:ascii="Times New Roman" w:hAnsi="Times New Roman" w:cs="Times New Roman"/>
          <w:sz w:val="28"/>
          <w:szCs w:val="28"/>
        </w:rPr>
        <w:t>р. (</w:t>
      </w:r>
      <w:proofErr w:type="spellStart"/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Лисянська</w:t>
      </w:r>
      <w:proofErr w:type="spellEnd"/>
      <w:r w:rsidRPr="00B81A1E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B81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1A1E">
        <w:rPr>
          <w:rFonts w:ascii="Times New Roman" w:hAnsi="Times New Roman" w:cs="Times New Roman"/>
          <w:b/>
          <w:sz w:val="28"/>
          <w:szCs w:val="28"/>
          <w:u w:val="single"/>
        </w:rPr>
        <w:t>Кам’янськ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spellEnd"/>
      <w:r w:rsidRPr="00B81A1E">
        <w:rPr>
          <w:rFonts w:ascii="Times New Roman" w:hAnsi="Times New Roman" w:cs="Times New Roman"/>
          <w:b/>
          <w:sz w:val="28"/>
          <w:szCs w:val="28"/>
          <w:u w:val="single"/>
        </w:rPr>
        <w:t>,</w:t>
      </w:r>
      <w:r w:rsidRPr="00B81A1E">
        <w:rPr>
          <w:rFonts w:ascii="Times New Roman" w:hAnsi="Times New Roman" w:cs="Times New Roman"/>
          <w:sz w:val="28"/>
          <w:szCs w:val="28"/>
        </w:rPr>
        <w:t xml:space="preserve"> </w:t>
      </w:r>
      <w:r w:rsidR="00316FC3" w:rsidRPr="00B81A1E">
        <w:rPr>
          <w:rFonts w:ascii="Times New Roman" w:hAnsi="Times New Roman" w:cs="Times New Roman"/>
          <w:sz w:val="28"/>
          <w:szCs w:val="28"/>
        </w:rPr>
        <w:t>Смілянськ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r w:rsidR="00316FC3" w:rsidRPr="00B81A1E">
        <w:rPr>
          <w:rFonts w:ascii="Times New Roman" w:hAnsi="Times New Roman" w:cs="Times New Roman"/>
          <w:sz w:val="28"/>
          <w:szCs w:val="28"/>
        </w:rPr>
        <w:t>, Чигиринськ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r w:rsidR="00316FC3" w:rsidRPr="00B81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316FC3" w:rsidRPr="00B81A1E">
        <w:rPr>
          <w:rFonts w:ascii="Times New Roman" w:hAnsi="Times New Roman" w:cs="Times New Roman"/>
          <w:b/>
          <w:sz w:val="28"/>
          <w:szCs w:val="28"/>
          <w:u w:val="single"/>
        </w:rPr>
        <w:t>Маньківськ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proofErr w:type="spellEnd"/>
      <w:r w:rsidR="00316FC3" w:rsidRPr="00B81A1E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A87355">
        <w:rPr>
          <w:rFonts w:ascii="Times New Roman" w:hAnsi="Times New Roman" w:cs="Times New Roman"/>
          <w:sz w:val="28"/>
          <w:szCs w:val="28"/>
        </w:rPr>
        <w:t>територіальні громади</w:t>
      </w:r>
      <w:r w:rsidR="00316FC3" w:rsidRPr="00B81A1E">
        <w:rPr>
          <w:rFonts w:ascii="Times New Roman" w:hAnsi="Times New Roman" w:cs="Times New Roman"/>
          <w:sz w:val="28"/>
          <w:szCs w:val="28"/>
        </w:rPr>
        <w:t xml:space="preserve">) – в 100% випадків відсутні данні (як паперові, </w:t>
      </w:r>
      <w:r w:rsidR="00A87355">
        <w:rPr>
          <w:rFonts w:ascii="Times New Roman" w:hAnsi="Times New Roman" w:cs="Times New Roman"/>
          <w:sz w:val="28"/>
          <w:szCs w:val="28"/>
        </w:rPr>
        <w:br/>
      </w:r>
      <w:r w:rsidR="00316FC3" w:rsidRPr="00B81A1E">
        <w:rPr>
          <w:rFonts w:ascii="Times New Roman" w:hAnsi="Times New Roman" w:cs="Times New Roman"/>
          <w:sz w:val="28"/>
          <w:szCs w:val="28"/>
        </w:rPr>
        <w:t xml:space="preserve">так і електронні), щодо формування та обстеження груп ризику з ТБ на рівні ЦПМСД. </w:t>
      </w:r>
    </w:p>
    <w:p w:rsidR="002C1857" w:rsidRDefault="00316FC3" w:rsidP="002C185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Також, на рівні вказаних ЦПМСД відсутній облік та робота з контактними особами. Спостереження дітей з туб вогнищ та з латентною туберкульозною інфекцією здійснюється сімейними лікарями, але облік та документація відсутні (</w:t>
      </w:r>
      <w:r w:rsidR="00A051C3">
        <w:rPr>
          <w:rFonts w:ascii="Times New Roman" w:hAnsi="Times New Roman" w:cs="Times New Roman"/>
          <w:sz w:val="28"/>
          <w:szCs w:val="28"/>
        </w:rPr>
        <w:t>у</w:t>
      </w:r>
      <w:r w:rsidRPr="00B81A1E">
        <w:rPr>
          <w:rFonts w:ascii="Times New Roman" w:hAnsi="Times New Roman" w:cs="Times New Roman"/>
          <w:sz w:val="28"/>
          <w:szCs w:val="28"/>
        </w:rPr>
        <w:t xml:space="preserve"> 60% закладів ЦПМСД</w:t>
      </w:r>
      <w:r w:rsidR="00012F28" w:rsidRPr="00B81A1E">
        <w:rPr>
          <w:rFonts w:ascii="Times New Roman" w:hAnsi="Times New Roman" w:cs="Times New Roman"/>
          <w:sz w:val="28"/>
          <w:szCs w:val="28"/>
        </w:rPr>
        <w:t>, в регіонах представлених до розгляду на засіданні – 100%)</w:t>
      </w:r>
      <w:r w:rsidRPr="00B81A1E">
        <w:rPr>
          <w:rFonts w:ascii="Times New Roman" w:hAnsi="Times New Roman" w:cs="Times New Roman"/>
          <w:sz w:val="28"/>
          <w:szCs w:val="28"/>
        </w:rPr>
        <w:t>. Відслідкувати призначення та проходження профілактичного лікування вищезазначеним особам на рівні ЦПМСД</w:t>
      </w:r>
      <w:r w:rsidR="00012F28" w:rsidRPr="00B81A1E">
        <w:rPr>
          <w:rFonts w:ascii="Times New Roman" w:hAnsi="Times New Roman" w:cs="Times New Roman"/>
          <w:sz w:val="28"/>
          <w:szCs w:val="28"/>
        </w:rPr>
        <w:t>, що розглядаються</w:t>
      </w:r>
      <w:r w:rsidR="00B43CD8" w:rsidRPr="00B81A1E">
        <w:rPr>
          <w:rFonts w:ascii="Times New Roman" w:hAnsi="Times New Roman" w:cs="Times New Roman"/>
          <w:sz w:val="28"/>
          <w:szCs w:val="28"/>
        </w:rPr>
        <w:t>,</w:t>
      </w:r>
      <w:r w:rsidR="00012F28" w:rsidRPr="00B81A1E">
        <w:rPr>
          <w:rFonts w:ascii="Times New Roman" w:hAnsi="Times New Roman" w:cs="Times New Roman"/>
          <w:sz w:val="28"/>
          <w:szCs w:val="28"/>
        </w:rPr>
        <w:t xml:space="preserve"> </w:t>
      </w:r>
      <w:r w:rsidRPr="00B81A1E">
        <w:rPr>
          <w:rFonts w:ascii="Times New Roman" w:hAnsi="Times New Roman" w:cs="Times New Roman"/>
          <w:sz w:val="28"/>
          <w:szCs w:val="28"/>
        </w:rPr>
        <w:t>неможливо.</w:t>
      </w:r>
      <w:r w:rsidR="00511F9A" w:rsidRPr="00B81A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1857" w:rsidRDefault="00511F9A" w:rsidP="002C1857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Згідно п.1, п.2, п.8 та, особливо п. 13 </w:t>
      </w:r>
      <w:r w:rsidRPr="00B81A1E">
        <w:rPr>
          <w:rFonts w:ascii="Times New Roman" w:hAnsi="Times New Roman" w:cs="Times New Roman"/>
          <w:i/>
          <w:sz w:val="28"/>
          <w:szCs w:val="28"/>
        </w:rPr>
        <w:t xml:space="preserve">(Профілактика, діагностика та раннє виявлення соціально-небезпечних хвороб (ВІЛ, туберкульоз (в тому числі, латентна туберкульозна інфекція), гепатити, інфекції, що передаються статевим шляхом, тощо). Обстеження контактних щодо туберкульозу осіб та видача направлення для надання вторинної (спеціалізованої) та/або третинної (високоспеціалізованої) медичної допомоги. Взаємодія з лікарем-фтизіатром </w:t>
      </w:r>
      <w:r w:rsidRPr="00B81A1E">
        <w:rPr>
          <w:rFonts w:ascii="Times New Roman" w:hAnsi="Times New Roman" w:cs="Times New Roman"/>
          <w:i/>
          <w:sz w:val="28"/>
          <w:szCs w:val="28"/>
        </w:rPr>
        <w:lastRenderedPageBreak/>
        <w:t>та/або лікарем-фтизіатром дитячим щодо діагностики та лікування пацієнтів із туберкульозом.)</w:t>
      </w:r>
      <w:r w:rsidR="008116F0" w:rsidRPr="00B81A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116F0" w:rsidRPr="00B81A1E">
        <w:rPr>
          <w:rFonts w:ascii="Times New Roman" w:hAnsi="Times New Roman" w:cs="Times New Roman"/>
          <w:bCs/>
          <w:sz w:val="28"/>
          <w:szCs w:val="28"/>
        </w:rPr>
        <w:t>Специфікації надання медичних послуг за напрямом «ПЕРВИННА МЕДИЧНА ДОПОМОГА», а також п 2. Додатку 1 до Порядку надання первинної медичної допомоги (пункт 1 розділу ІІ), затвердженого наказом МОЗ України від 19.03.2018 №504</w:t>
      </w:r>
      <w:r w:rsidR="002C1857">
        <w:rPr>
          <w:rFonts w:ascii="Times New Roman" w:hAnsi="Times New Roman" w:cs="Times New Roman"/>
          <w:bCs/>
          <w:sz w:val="28"/>
          <w:szCs w:val="28"/>
        </w:rPr>
        <w:t xml:space="preserve"> – </w:t>
      </w:r>
      <w:r w:rsidR="008116F0" w:rsidRPr="00B81A1E">
        <w:rPr>
          <w:rFonts w:ascii="Times New Roman" w:hAnsi="Times New Roman" w:cs="Times New Roman"/>
          <w:sz w:val="28"/>
          <w:szCs w:val="28"/>
        </w:rPr>
        <w:t xml:space="preserve">проведення профілактичних втручань забезпечується закладами охорони здоров’я первинного рівня надання медичної допомоги з подальшою </w:t>
      </w:r>
      <w:proofErr w:type="spellStart"/>
      <w:r w:rsidR="008116F0" w:rsidRPr="00B81A1E">
        <w:rPr>
          <w:rFonts w:ascii="Times New Roman" w:hAnsi="Times New Roman" w:cs="Times New Roman"/>
          <w:sz w:val="28"/>
          <w:szCs w:val="28"/>
        </w:rPr>
        <w:t>переадресацією</w:t>
      </w:r>
      <w:proofErr w:type="spellEnd"/>
      <w:r w:rsidR="008116F0" w:rsidRPr="00B81A1E">
        <w:rPr>
          <w:rFonts w:ascii="Times New Roman" w:hAnsi="Times New Roman" w:cs="Times New Roman"/>
          <w:sz w:val="28"/>
          <w:szCs w:val="28"/>
        </w:rPr>
        <w:t xml:space="preserve"> пацієнта, при необхідності, </w:t>
      </w:r>
      <w:r w:rsidR="002C1857">
        <w:rPr>
          <w:rFonts w:ascii="Times New Roman" w:hAnsi="Times New Roman" w:cs="Times New Roman"/>
          <w:sz w:val="28"/>
          <w:szCs w:val="28"/>
        </w:rPr>
        <w:br/>
      </w:r>
      <w:r w:rsidR="008116F0" w:rsidRPr="00B81A1E">
        <w:rPr>
          <w:rFonts w:ascii="Times New Roman" w:hAnsi="Times New Roman" w:cs="Times New Roman"/>
          <w:sz w:val="28"/>
          <w:szCs w:val="28"/>
        </w:rPr>
        <w:t>на вищий рівень надання медичної допомоги та/або до лікаря</w:t>
      </w:r>
      <w:r w:rsidR="002C1857">
        <w:rPr>
          <w:rFonts w:ascii="Times New Roman" w:hAnsi="Times New Roman" w:cs="Times New Roman"/>
          <w:sz w:val="28"/>
          <w:szCs w:val="28"/>
        </w:rPr>
        <w:t>-</w:t>
      </w:r>
      <w:r w:rsidR="008116F0" w:rsidRPr="00B81A1E">
        <w:rPr>
          <w:rFonts w:ascii="Times New Roman" w:hAnsi="Times New Roman" w:cs="Times New Roman"/>
          <w:sz w:val="28"/>
          <w:szCs w:val="28"/>
        </w:rPr>
        <w:t>фтизіатра для виключення активних туберкульозних змін та призначення лікування латентної туберкульозної інфекції</w:t>
      </w:r>
      <w:r w:rsidR="00012F28" w:rsidRPr="00B81A1E">
        <w:rPr>
          <w:rFonts w:ascii="Times New Roman" w:hAnsi="Times New Roman" w:cs="Times New Roman"/>
          <w:sz w:val="28"/>
          <w:szCs w:val="28"/>
        </w:rPr>
        <w:t>.</w:t>
      </w:r>
    </w:p>
    <w:p w:rsidR="00A051C3" w:rsidRDefault="0078732C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3B73">
        <w:rPr>
          <w:rFonts w:ascii="Times New Roman" w:hAnsi="Times New Roman" w:cs="Times New Roman"/>
          <w:sz w:val="28"/>
          <w:szCs w:val="28"/>
        </w:rPr>
        <w:t xml:space="preserve">Для оцінки якості ефективності діагностичних процедур використовується  показник «Виявлення нових випадків та рецидивів з КСБ "+" (за </w:t>
      </w:r>
      <w:proofErr w:type="spellStart"/>
      <w:r w:rsidRPr="00843B73">
        <w:rPr>
          <w:rFonts w:ascii="Times New Roman" w:hAnsi="Times New Roman" w:cs="Times New Roman"/>
          <w:sz w:val="28"/>
          <w:szCs w:val="28"/>
        </w:rPr>
        <w:t>Цілем</w:t>
      </w:r>
      <w:proofErr w:type="spellEnd"/>
      <w:r w:rsidRPr="00843B73"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 w:rsidRPr="00843B73">
        <w:rPr>
          <w:rFonts w:ascii="Times New Roman" w:hAnsi="Times New Roman" w:cs="Times New Roman"/>
          <w:sz w:val="28"/>
          <w:szCs w:val="28"/>
        </w:rPr>
        <w:t>Нільсеном</w:t>
      </w:r>
      <w:proofErr w:type="spellEnd"/>
      <w:r w:rsidRPr="00843B73">
        <w:rPr>
          <w:rFonts w:ascii="Times New Roman" w:hAnsi="Times New Roman" w:cs="Times New Roman"/>
          <w:sz w:val="28"/>
          <w:szCs w:val="28"/>
        </w:rPr>
        <w:t>) у осіб, обстежених в лабораторіях з мікробіологічної діагностики</w:t>
      </w:r>
      <w:r w:rsidR="005377A3" w:rsidRPr="00843B73">
        <w:rPr>
          <w:rFonts w:ascii="Times New Roman" w:hAnsi="Times New Roman" w:cs="Times New Roman"/>
          <w:sz w:val="28"/>
          <w:szCs w:val="28"/>
        </w:rPr>
        <w:t xml:space="preserve"> ТБ І рівня» (цільове значення </w:t>
      </w:r>
      <w:r w:rsidRPr="00843B73">
        <w:rPr>
          <w:rFonts w:ascii="Times New Roman" w:hAnsi="Times New Roman" w:cs="Times New Roman"/>
          <w:sz w:val="28"/>
          <w:szCs w:val="28"/>
        </w:rPr>
        <w:t>– від 5% до 10%).</w:t>
      </w:r>
      <w:r w:rsidR="00A05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1C3" w:rsidRDefault="00511F9A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За результатами І півріччя 2021</w:t>
      </w:r>
      <w:r w:rsidR="005C44DC" w:rsidRPr="00B81A1E">
        <w:rPr>
          <w:rFonts w:ascii="Times New Roman" w:hAnsi="Times New Roman" w:cs="Times New Roman"/>
          <w:sz w:val="28"/>
          <w:szCs w:val="28"/>
        </w:rPr>
        <w:t xml:space="preserve"> р., оцінюючи регіони в</w:t>
      </w:r>
      <w:r w:rsidR="00567589" w:rsidRPr="00B81A1E">
        <w:rPr>
          <w:rFonts w:ascii="Times New Roman" w:hAnsi="Times New Roman" w:cs="Times New Roman"/>
          <w:sz w:val="28"/>
          <w:szCs w:val="28"/>
        </w:rPr>
        <w:t xml:space="preserve"> </w:t>
      </w:r>
      <w:r w:rsidR="005C44DC" w:rsidRPr="00B81A1E">
        <w:rPr>
          <w:rFonts w:ascii="Times New Roman" w:hAnsi="Times New Roman" w:cs="Times New Roman"/>
          <w:sz w:val="28"/>
          <w:szCs w:val="28"/>
        </w:rPr>
        <w:t>цілому, досягнуто показник щод</w:t>
      </w:r>
      <w:r w:rsidR="00A505C7" w:rsidRPr="00B81A1E">
        <w:rPr>
          <w:rFonts w:ascii="Times New Roman" w:hAnsi="Times New Roman" w:cs="Times New Roman"/>
          <w:sz w:val="28"/>
          <w:szCs w:val="28"/>
        </w:rPr>
        <w:t xml:space="preserve">о виявлення КСБ+ в </w:t>
      </w:r>
      <w:r w:rsidR="00E10FA0" w:rsidRPr="00B81A1E">
        <w:rPr>
          <w:rFonts w:ascii="Times New Roman" w:hAnsi="Times New Roman" w:cs="Times New Roman"/>
          <w:sz w:val="28"/>
          <w:szCs w:val="28"/>
        </w:rPr>
        <w:t>Звенигородськ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(5,56%), </w:t>
      </w:r>
      <w:proofErr w:type="spellStart"/>
      <w:r w:rsidR="00E10FA0" w:rsidRPr="00B81A1E">
        <w:rPr>
          <w:rFonts w:ascii="Times New Roman" w:hAnsi="Times New Roman" w:cs="Times New Roman"/>
          <w:b/>
          <w:sz w:val="28"/>
          <w:szCs w:val="28"/>
          <w:u w:val="single"/>
        </w:rPr>
        <w:t>Лисянськ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ій</w:t>
      </w:r>
      <w:proofErr w:type="spellEnd"/>
      <w:r w:rsidR="00A505C7" w:rsidRPr="00B81A1E">
        <w:rPr>
          <w:rFonts w:ascii="Times New Roman" w:hAnsi="Times New Roman" w:cs="Times New Roman"/>
          <w:b/>
          <w:sz w:val="28"/>
          <w:szCs w:val="28"/>
          <w:u w:val="single"/>
        </w:rPr>
        <w:t xml:space="preserve"> (5,</w:t>
      </w:r>
      <w:r w:rsidR="00E10FA0" w:rsidRPr="00B81A1E">
        <w:rPr>
          <w:rFonts w:ascii="Times New Roman" w:hAnsi="Times New Roman" w:cs="Times New Roman"/>
          <w:b/>
          <w:sz w:val="28"/>
          <w:szCs w:val="28"/>
          <w:u w:val="single"/>
        </w:rPr>
        <w:t>88</w:t>
      </w:r>
      <w:r w:rsidR="00A505C7" w:rsidRPr="00B81A1E">
        <w:rPr>
          <w:rFonts w:ascii="Times New Roman" w:hAnsi="Times New Roman" w:cs="Times New Roman"/>
          <w:b/>
          <w:sz w:val="28"/>
          <w:szCs w:val="28"/>
          <w:u w:val="single"/>
        </w:rPr>
        <w:t>%)</w:t>
      </w:r>
      <w:r w:rsidR="00A505C7" w:rsidRPr="00B81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10FA0" w:rsidRPr="00B81A1E">
        <w:rPr>
          <w:rFonts w:ascii="Times New Roman" w:hAnsi="Times New Roman" w:cs="Times New Roman"/>
          <w:b/>
          <w:sz w:val="28"/>
          <w:szCs w:val="28"/>
          <w:u w:val="single"/>
        </w:rPr>
        <w:t>Маньківськ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ій</w:t>
      </w:r>
      <w:proofErr w:type="spellEnd"/>
      <w:r w:rsidR="00E10FA0" w:rsidRPr="00B81A1E">
        <w:rPr>
          <w:rFonts w:ascii="Times New Roman" w:hAnsi="Times New Roman" w:cs="Times New Roman"/>
          <w:b/>
          <w:sz w:val="28"/>
          <w:szCs w:val="28"/>
          <w:u w:val="single"/>
        </w:rPr>
        <w:t xml:space="preserve"> (6,67</w:t>
      </w:r>
      <w:r w:rsidR="00B43CD8" w:rsidRPr="00B81A1E">
        <w:rPr>
          <w:rFonts w:ascii="Times New Roman" w:hAnsi="Times New Roman" w:cs="Times New Roman"/>
          <w:b/>
          <w:sz w:val="28"/>
          <w:szCs w:val="28"/>
          <w:u w:val="single"/>
        </w:rPr>
        <w:t>%</w:t>
      </w:r>
      <w:r w:rsidR="00E10FA0" w:rsidRPr="00B81A1E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  <w:r w:rsidR="00DC6346" w:rsidRPr="00B81A1E">
        <w:rPr>
          <w:rFonts w:ascii="Times New Roman" w:hAnsi="Times New Roman" w:cs="Times New Roman"/>
          <w:sz w:val="28"/>
          <w:szCs w:val="28"/>
        </w:rPr>
        <w:t>,</w:t>
      </w:r>
      <w:r w:rsidR="00E10FA0" w:rsidRPr="00B81A1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0FA0" w:rsidRPr="00B81A1E">
        <w:rPr>
          <w:rFonts w:ascii="Times New Roman" w:hAnsi="Times New Roman" w:cs="Times New Roman"/>
          <w:sz w:val="28"/>
          <w:szCs w:val="28"/>
        </w:rPr>
        <w:t>Катеринопільськ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(9</w:t>
      </w:r>
      <w:r w:rsidR="005C44DC" w:rsidRPr="00B81A1E">
        <w:rPr>
          <w:rFonts w:ascii="Times New Roman" w:hAnsi="Times New Roman" w:cs="Times New Roman"/>
          <w:sz w:val="28"/>
          <w:szCs w:val="28"/>
        </w:rPr>
        <w:t>,</w:t>
      </w:r>
      <w:r w:rsidR="00E10FA0" w:rsidRPr="00B81A1E">
        <w:rPr>
          <w:rFonts w:ascii="Times New Roman" w:hAnsi="Times New Roman" w:cs="Times New Roman"/>
          <w:sz w:val="28"/>
          <w:szCs w:val="28"/>
        </w:rPr>
        <w:t>38</w:t>
      </w:r>
      <w:r w:rsidR="005C44DC" w:rsidRPr="00B81A1E">
        <w:rPr>
          <w:rFonts w:ascii="Times New Roman" w:hAnsi="Times New Roman" w:cs="Times New Roman"/>
          <w:sz w:val="28"/>
          <w:szCs w:val="28"/>
        </w:rPr>
        <w:t xml:space="preserve">%), </w:t>
      </w:r>
      <w:proofErr w:type="spellStart"/>
      <w:r w:rsidR="00E10FA0" w:rsidRPr="00B81A1E">
        <w:rPr>
          <w:rFonts w:ascii="Times New Roman" w:hAnsi="Times New Roman" w:cs="Times New Roman"/>
          <w:sz w:val="28"/>
          <w:szCs w:val="28"/>
        </w:rPr>
        <w:t>Тальнівськ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(5,56%), </w:t>
      </w:r>
      <w:proofErr w:type="spellStart"/>
      <w:r w:rsidR="00E10FA0" w:rsidRPr="00B81A1E">
        <w:rPr>
          <w:rFonts w:ascii="Times New Roman" w:hAnsi="Times New Roman" w:cs="Times New Roman"/>
          <w:sz w:val="28"/>
          <w:szCs w:val="28"/>
        </w:rPr>
        <w:t>Чорнобаївськ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(9,52%), </w:t>
      </w:r>
      <w:proofErr w:type="spellStart"/>
      <w:r w:rsidR="00E10FA0" w:rsidRPr="00B81A1E">
        <w:rPr>
          <w:rFonts w:ascii="Times New Roman" w:hAnsi="Times New Roman" w:cs="Times New Roman"/>
          <w:sz w:val="28"/>
          <w:szCs w:val="28"/>
        </w:rPr>
        <w:t>Шполянськ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(6,02%) </w:t>
      </w:r>
      <w:r w:rsidR="00A87355">
        <w:rPr>
          <w:rFonts w:ascii="Times New Roman" w:hAnsi="Times New Roman" w:cs="Times New Roman"/>
          <w:sz w:val="28"/>
          <w:szCs w:val="28"/>
        </w:rPr>
        <w:t>територіальних громадах</w:t>
      </w:r>
      <w:r w:rsidR="005C44DC" w:rsidRPr="00B81A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51C3" w:rsidRDefault="005C44DC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>Не досягнуто показника</w:t>
      </w:r>
      <w:r w:rsidR="00A505C7" w:rsidRPr="00B81A1E">
        <w:rPr>
          <w:rFonts w:ascii="Times New Roman" w:hAnsi="Times New Roman" w:cs="Times New Roman"/>
          <w:sz w:val="28"/>
          <w:szCs w:val="28"/>
        </w:rPr>
        <w:t xml:space="preserve"> м. Черкаси (</w:t>
      </w:r>
      <w:r w:rsidR="00E10FA0" w:rsidRPr="00B81A1E">
        <w:rPr>
          <w:rFonts w:ascii="Times New Roman" w:hAnsi="Times New Roman" w:cs="Times New Roman"/>
          <w:sz w:val="28"/>
          <w:szCs w:val="28"/>
        </w:rPr>
        <w:t>3</w:t>
      </w:r>
      <w:r w:rsidR="00567589" w:rsidRPr="00B81A1E">
        <w:rPr>
          <w:rFonts w:ascii="Times New Roman" w:hAnsi="Times New Roman" w:cs="Times New Roman"/>
          <w:sz w:val="28"/>
          <w:szCs w:val="28"/>
        </w:rPr>
        <w:t>,</w:t>
      </w:r>
      <w:r w:rsidR="00E10FA0" w:rsidRPr="00B81A1E">
        <w:rPr>
          <w:rFonts w:ascii="Times New Roman" w:hAnsi="Times New Roman" w:cs="Times New Roman"/>
          <w:sz w:val="28"/>
          <w:szCs w:val="28"/>
        </w:rPr>
        <w:t>45</w:t>
      </w:r>
      <w:r w:rsidR="00A505C7" w:rsidRPr="00B81A1E">
        <w:rPr>
          <w:rFonts w:ascii="Times New Roman" w:hAnsi="Times New Roman" w:cs="Times New Roman"/>
          <w:sz w:val="28"/>
          <w:szCs w:val="28"/>
        </w:rPr>
        <w:t xml:space="preserve">%), </w:t>
      </w:r>
      <w:r w:rsidRPr="00B81A1E">
        <w:rPr>
          <w:rFonts w:ascii="Times New Roman" w:hAnsi="Times New Roman" w:cs="Times New Roman"/>
          <w:sz w:val="28"/>
          <w:szCs w:val="28"/>
        </w:rPr>
        <w:t>м. Ватутін</w:t>
      </w:r>
      <w:r w:rsidR="00A87355">
        <w:rPr>
          <w:rFonts w:ascii="Times New Roman" w:hAnsi="Times New Roman" w:cs="Times New Roman"/>
          <w:sz w:val="28"/>
          <w:szCs w:val="28"/>
        </w:rPr>
        <w:t>е</w:t>
      </w:r>
      <w:r w:rsidRPr="00B81A1E">
        <w:rPr>
          <w:rFonts w:ascii="Times New Roman" w:hAnsi="Times New Roman" w:cs="Times New Roman"/>
          <w:sz w:val="28"/>
          <w:szCs w:val="28"/>
        </w:rPr>
        <w:t xml:space="preserve"> (</w:t>
      </w:r>
      <w:r w:rsidR="00A505C7" w:rsidRPr="00B81A1E">
        <w:rPr>
          <w:rFonts w:ascii="Times New Roman" w:hAnsi="Times New Roman" w:cs="Times New Roman"/>
          <w:sz w:val="28"/>
          <w:szCs w:val="28"/>
        </w:rPr>
        <w:t>3,</w:t>
      </w:r>
      <w:r w:rsidR="00E10FA0" w:rsidRPr="00B81A1E">
        <w:rPr>
          <w:rFonts w:ascii="Times New Roman" w:hAnsi="Times New Roman" w:cs="Times New Roman"/>
          <w:sz w:val="28"/>
          <w:szCs w:val="28"/>
        </w:rPr>
        <w:t>39</w:t>
      </w:r>
      <w:r w:rsidRPr="00B81A1E">
        <w:rPr>
          <w:rFonts w:ascii="Times New Roman" w:hAnsi="Times New Roman" w:cs="Times New Roman"/>
          <w:sz w:val="28"/>
          <w:szCs w:val="28"/>
        </w:rPr>
        <w:t>%),</w:t>
      </w:r>
      <w:r w:rsidR="00E10FA0" w:rsidRPr="00B81A1E">
        <w:rPr>
          <w:rFonts w:ascii="Times New Roman" w:hAnsi="Times New Roman" w:cs="Times New Roman"/>
          <w:sz w:val="28"/>
          <w:szCs w:val="28"/>
        </w:rPr>
        <w:t xml:space="preserve"> м. Сміла (3,5%). </w:t>
      </w:r>
      <w:proofErr w:type="spellStart"/>
      <w:r w:rsidR="00E10FA0" w:rsidRPr="00B81A1E">
        <w:rPr>
          <w:rFonts w:ascii="Times New Roman" w:hAnsi="Times New Roman" w:cs="Times New Roman"/>
          <w:sz w:val="28"/>
          <w:szCs w:val="28"/>
        </w:rPr>
        <w:t>Золотоніськ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(2,67%), Смілянськ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(1,59%), Уманськ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r w:rsidR="00E10FA0" w:rsidRPr="00B81A1E">
        <w:rPr>
          <w:rFonts w:ascii="Times New Roman" w:hAnsi="Times New Roman" w:cs="Times New Roman"/>
          <w:sz w:val="28"/>
          <w:szCs w:val="28"/>
        </w:rPr>
        <w:t xml:space="preserve"> (3,33%) </w:t>
      </w:r>
      <w:r w:rsidR="00A87355">
        <w:rPr>
          <w:rFonts w:ascii="Times New Roman" w:hAnsi="Times New Roman" w:cs="Times New Roman"/>
          <w:sz w:val="28"/>
          <w:szCs w:val="28"/>
        </w:rPr>
        <w:t>територіальних громадах</w:t>
      </w:r>
      <w:r w:rsidR="00E10FA0" w:rsidRPr="00B81A1E">
        <w:rPr>
          <w:rFonts w:ascii="Times New Roman" w:hAnsi="Times New Roman" w:cs="Times New Roman"/>
          <w:sz w:val="28"/>
          <w:szCs w:val="28"/>
        </w:rPr>
        <w:t>.</w:t>
      </w:r>
    </w:p>
    <w:p w:rsidR="00A051C3" w:rsidRDefault="00E10FA0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Такі </w:t>
      </w:r>
      <w:r w:rsidRPr="00A051C3">
        <w:rPr>
          <w:rFonts w:ascii="Times New Roman" w:hAnsi="Times New Roman" w:cs="Times New Roman"/>
          <w:sz w:val="28"/>
          <w:szCs w:val="28"/>
        </w:rPr>
        <w:t>регіони</w:t>
      </w:r>
      <w:r w:rsidRPr="00B81A1E">
        <w:rPr>
          <w:rFonts w:ascii="Times New Roman" w:hAnsi="Times New Roman" w:cs="Times New Roman"/>
          <w:sz w:val="28"/>
          <w:szCs w:val="28"/>
        </w:rPr>
        <w:t xml:space="preserve">, як </w:t>
      </w:r>
      <w:proofErr w:type="spellStart"/>
      <w:r w:rsidRPr="00B81A1E">
        <w:rPr>
          <w:rFonts w:ascii="Times New Roman" w:hAnsi="Times New Roman" w:cs="Times New Roman"/>
          <w:sz w:val="28"/>
          <w:szCs w:val="28"/>
        </w:rPr>
        <w:t>Жашківськ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B81A1E">
        <w:rPr>
          <w:rFonts w:ascii="Times New Roman" w:hAnsi="Times New Roman" w:cs="Times New Roman"/>
          <w:sz w:val="28"/>
          <w:szCs w:val="28"/>
        </w:rPr>
        <w:t xml:space="preserve">, </w:t>
      </w:r>
      <w:r w:rsidR="00E06E87" w:rsidRPr="00B81A1E">
        <w:rPr>
          <w:rFonts w:ascii="Times New Roman" w:hAnsi="Times New Roman" w:cs="Times New Roman"/>
          <w:sz w:val="28"/>
          <w:szCs w:val="28"/>
        </w:rPr>
        <w:t>К</w:t>
      </w:r>
      <w:r w:rsidR="00A051C3">
        <w:rPr>
          <w:rFonts w:ascii="Times New Roman" w:hAnsi="Times New Roman" w:cs="Times New Roman"/>
          <w:sz w:val="28"/>
          <w:szCs w:val="28"/>
        </w:rPr>
        <w:t>орсунь</w:t>
      </w:r>
      <w:r w:rsidR="00E06E87" w:rsidRPr="00B81A1E">
        <w:rPr>
          <w:rFonts w:ascii="Times New Roman" w:hAnsi="Times New Roman" w:cs="Times New Roman"/>
          <w:sz w:val="28"/>
          <w:szCs w:val="28"/>
        </w:rPr>
        <w:t>-Шевченківськ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r w:rsidR="00E06E87" w:rsidRPr="00B81A1E">
        <w:rPr>
          <w:rFonts w:ascii="Times New Roman" w:hAnsi="Times New Roman" w:cs="Times New Roman"/>
          <w:sz w:val="28"/>
          <w:szCs w:val="28"/>
        </w:rPr>
        <w:t>, Канівськ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r w:rsidR="00E06E87" w:rsidRPr="00B81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6E87" w:rsidRPr="00B81A1E">
        <w:rPr>
          <w:rFonts w:ascii="Times New Roman" w:hAnsi="Times New Roman" w:cs="Times New Roman"/>
          <w:sz w:val="28"/>
          <w:szCs w:val="28"/>
        </w:rPr>
        <w:t>Монастирищенськ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 xml:space="preserve"> та Чигиринськ</w:t>
      </w:r>
      <w:r w:rsidR="00A87355">
        <w:rPr>
          <w:rFonts w:ascii="Times New Roman" w:hAnsi="Times New Roman" w:cs="Times New Roman"/>
          <w:sz w:val="28"/>
          <w:szCs w:val="28"/>
        </w:rPr>
        <w:t>а</w:t>
      </w:r>
      <w:r w:rsidR="00A87355" w:rsidRPr="00A87355">
        <w:rPr>
          <w:rFonts w:ascii="Times New Roman" w:hAnsi="Times New Roman" w:cs="Times New Roman"/>
          <w:sz w:val="28"/>
          <w:szCs w:val="28"/>
        </w:rPr>
        <w:t xml:space="preserve"> </w:t>
      </w:r>
      <w:r w:rsidR="00A87355">
        <w:rPr>
          <w:rFonts w:ascii="Times New Roman" w:hAnsi="Times New Roman" w:cs="Times New Roman"/>
          <w:sz w:val="28"/>
          <w:szCs w:val="28"/>
        </w:rPr>
        <w:t>територіальні громади</w:t>
      </w:r>
      <w:r w:rsidR="00E06E87" w:rsidRPr="00B81A1E">
        <w:rPr>
          <w:rFonts w:ascii="Times New Roman" w:hAnsi="Times New Roman" w:cs="Times New Roman"/>
          <w:sz w:val="28"/>
          <w:szCs w:val="28"/>
        </w:rPr>
        <w:t xml:space="preserve"> – взагалі за І півріччя 2021 року не виявили жодного </w:t>
      </w:r>
      <w:proofErr w:type="spellStart"/>
      <w:r w:rsidR="00E06E87" w:rsidRPr="00B81A1E">
        <w:rPr>
          <w:rFonts w:ascii="Times New Roman" w:hAnsi="Times New Roman" w:cs="Times New Roman"/>
          <w:sz w:val="28"/>
          <w:szCs w:val="28"/>
        </w:rPr>
        <w:t>бактерівиділювача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>.</w:t>
      </w:r>
    </w:p>
    <w:p w:rsidR="00A051C3" w:rsidRDefault="005C44DC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Низький показник виявлення </w:t>
      </w:r>
      <w:proofErr w:type="spellStart"/>
      <w:r w:rsidRPr="00B81A1E">
        <w:rPr>
          <w:rFonts w:ascii="Times New Roman" w:hAnsi="Times New Roman" w:cs="Times New Roman"/>
          <w:sz w:val="28"/>
          <w:szCs w:val="28"/>
        </w:rPr>
        <w:t>бактеріовиділювачів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 xml:space="preserve"> або їх відсутність</w:t>
      </w:r>
      <w:r w:rsidRPr="00B81A1E">
        <w:rPr>
          <w:rFonts w:ascii="Times New Roman" w:hAnsi="Times New Roman" w:cs="Times New Roman"/>
          <w:sz w:val="28"/>
          <w:szCs w:val="28"/>
        </w:rPr>
        <w:t xml:space="preserve"> може вказувати на:</w:t>
      </w:r>
    </w:p>
    <w:p w:rsidR="00A051C3" w:rsidRDefault="00A051C3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4DC" w:rsidRPr="00B81A1E">
        <w:rPr>
          <w:rFonts w:ascii="Times New Roman" w:hAnsi="Times New Roman" w:cs="Times New Roman"/>
          <w:sz w:val="28"/>
          <w:szCs w:val="28"/>
        </w:rPr>
        <w:t>недостатньо коректний відбір пацієнтів для даного методу обстеження;</w:t>
      </w:r>
    </w:p>
    <w:p w:rsidR="00A051C3" w:rsidRDefault="00A051C3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4DC" w:rsidRPr="00B81A1E">
        <w:rPr>
          <w:rFonts w:ascii="Times New Roman" w:hAnsi="Times New Roman" w:cs="Times New Roman"/>
          <w:sz w:val="28"/>
          <w:szCs w:val="28"/>
        </w:rPr>
        <w:t xml:space="preserve">неконтрольований збір та/або збір неякісного </w:t>
      </w:r>
      <w:proofErr w:type="spellStart"/>
      <w:r w:rsidR="005C44DC" w:rsidRPr="00B81A1E">
        <w:rPr>
          <w:rFonts w:ascii="Times New Roman" w:hAnsi="Times New Roman" w:cs="Times New Roman"/>
          <w:sz w:val="28"/>
          <w:szCs w:val="28"/>
        </w:rPr>
        <w:t>біоматеріалу</w:t>
      </w:r>
      <w:proofErr w:type="spellEnd"/>
      <w:r w:rsidR="005C44DC" w:rsidRPr="00B81A1E">
        <w:rPr>
          <w:rFonts w:ascii="Times New Roman" w:hAnsi="Times New Roman" w:cs="Times New Roman"/>
          <w:sz w:val="28"/>
          <w:szCs w:val="28"/>
        </w:rPr>
        <w:t xml:space="preserve"> для дослідження (робота пунктів збору мокроти);</w:t>
      </w:r>
    </w:p>
    <w:p w:rsidR="00A051C3" w:rsidRDefault="00A051C3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44DC" w:rsidRPr="00B81A1E">
        <w:rPr>
          <w:rFonts w:ascii="Times New Roman" w:hAnsi="Times New Roman" w:cs="Times New Roman"/>
          <w:sz w:val="28"/>
          <w:szCs w:val="28"/>
        </w:rPr>
        <w:t xml:space="preserve">проблеми при </w:t>
      </w:r>
      <w:r w:rsidR="005377A3" w:rsidRPr="00B81A1E">
        <w:rPr>
          <w:rFonts w:ascii="Times New Roman" w:hAnsi="Times New Roman" w:cs="Times New Roman"/>
          <w:sz w:val="28"/>
          <w:szCs w:val="28"/>
        </w:rPr>
        <w:t xml:space="preserve">проведенні </w:t>
      </w:r>
      <w:r w:rsidR="00BB4FF4" w:rsidRPr="00B81A1E">
        <w:rPr>
          <w:rFonts w:ascii="Times New Roman" w:hAnsi="Times New Roman" w:cs="Times New Roman"/>
          <w:sz w:val="28"/>
          <w:szCs w:val="28"/>
        </w:rPr>
        <w:t>дослідження</w:t>
      </w:r>
      <w:r w:rsidR="005377A3" w:rsidRPr="00B81A1E">
        <w:rPr>
          <w:rFonts w:ascii="Times New Roman" w:hAnsi="Times New Roman" w:cs="Times New Roman"/>
          <w:sz w:val="28"/>
          <w:szCs w:val="28"/>
        </w:rPr>
        <w:t xml:space="preserve"> та низький рівень кваліфікації лаборанта</w:t>
      </w:r>
      <w:r w:rsidR="00BB4FF4" w:rsidRPr="00B81A1E">
        <w:rPr>
          <w:rFonts w:ascii="Times New Roman" w:hAnsi="Times New Roman" w:cs="Times New Roman"/>
          <w:sz w:val="28"/>
          <w:szCs w:val="28"/>
        </w:rPr>
        <w:t>.</w:t>
      </w:r>
    </w:p>
    <w:p w:rsidR="005C44DC" w:rsidRPr="00B81A1E" w:rsidRDefault="005C44DC" w:rsidP="00A051C3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1A1E">
        <w:rPr>
          <w:rFonts w:ascii="Times New Roman" w:hAnsi="Times New Roman" w:cs="Times New Roman"/>
          <w:sz w:val="28"/>
          <w:szCs w:val="28"/>
        </w:rPr>
        <w:t xml:space="preserve">Перевищено показник більше 10% по </w:t>
      </w:r>
      <w:r w:rsidR="00E06E87" w:rsidRPr="00B81A1E">
        <w:rPr>
          <w:rFonts w:ascii="Times New Roman" w:hAnsi="Times New Roman" w:cs="Times New Roman"/>
          <w:sz w:val="28"/>
          <w:szCs w:val="28"/>
        </w:rPr>
        <w:t xml:space="preserve">м. Умань (12,56%). </w:t>
      </w:r>
      <w:proofErr w:type="spellStart"/>
      <w:r w:rsidR="00E06E87" w:rsidRPr="00B81A1E">
        <w:rPr>
          <w:rFonts w:ascii="Times New Roman" w:hAnsi="Times New Roman" w:cs="Times New Roman"/>
          <w:sz w:val="28"/>
          <w:szCs w:val="28"/>
        </w:rPr>
        <w:t>Городищенськ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 xml:space="preserve"> (23,3%), </w:t>
      </w:r>
      <w:proofErr w:type="spellStart"/>
      <w:r w:rsidR="00E06E87" w:rsidRPr="00B81A1E">
        <w:rPr>
          <w:rFonts w:ascii="Times New Roman" w:hAnsi="Times New Roman" w:cs="Times New Roman"/>
          <w:sz w:val="28"/>
          <w:szCs w:val="28"/>
        </w:rPr>
        <w:t>Драбівськ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 xml:space="preserve"> (28,6%), </w:t>
      </w:r>
      <w:proofErr w:type="spellStart"/>
      <w:r w:rsidR="00E06E87" w:rsidRPr="00B81A1E">
        <w:rPr>
          <w:rFonts w:ascii="Times New Roman" w:hAnsi="Times New Roman" w:cs="Times New Roman"/>
          <w:b/>
          <w:sz w:val="28"/>
          <w:szCs w:val="28"/>
          <w:u w:val="single"/>
        </w:rPr>
        <w:t>Кам’янськ</w:t>
      </w:r>
      <w:r w:rsidR="00A87355">
        <w:rPr>
          <w:rFonts w:ascii="Times New Roman" w:hAnsi="Times New Roman" w:cs="Times New Roman"/>
          <w:b/>
          <w:sz w:val="28"/>
          <w:szCs w:val="28"/>
          <w:u w:val="single"/>
        </w:rPr>
        <w:t>ій</w:t>
      </w:r>
      <w:proofErr w:type="spellEnd"/>
      <w:r w:rsidR="00E06E87" w:rsidRPr="00B81A1E">
        <w:rPr>
          <w:rFonts w:ascii="Times New Roman" w:hAnsi="Times New Roman" w:cs="Times New Roman"/>
          <w:b/>
          <w:sz w:val="28"/>
          <w:szCs w:val="28"/>
          <w:u w:val="single"/>
        </w:rPr>
        <w:t xml:space="preserve"> (20%)</w:t>
      </w:r>
      <w:r w:rsidR="00E06E87" w:rsidRPr="00B81A1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06E87" w:rsidRPr="00B81A1E">
        <w:rPr>
          <w:rFonts w:ascii="Times New Roman" w:hAnsi="Times New Roman" w:cs="Times New Roman"/>
          <w:sz w:val="28"/>
          <w:szCs w:val="28"/>
        </w:rPr>
        <w:t>Христинівськ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proofErr w:type="spellEnd"/>
      <w:r w:rsidR="00E06E87" w:rsidRPr="00B81A1E">
        <w:rPr>
          <w:rFonts w:ascii="Times New Roman" w:hAnsi="Times New Roman" w:cs="Times New Roman"/>
          <w:sz w:val="28"/>
          <w:szCs w:val="28"/>
        </w:rPr>
        <w:t xml:space="preserve"> (14,2%), Черкаськ</w:t>
      </w:r>
      <w:r w:rsidR="00A87355">
        <w:rPr>
          <w:rFonts w:ascii="Times New Roman" w:hAnsi="Times New Roman" w:cs="Times New Roman"/>
          <w:sz w:val="28"/>
          <w:szCs w:val="28"/>
        </w:rPr>
        <w:t>ій</w:t>
      </w:r>
      <w:r w:rsidR="00E06E87" w:rsidRPr="00B81A1E">
        <w:rPr>
          <w:rFonts w:ascii="Times New Roman" w:hAnsi="Times New Roman" w:cs="Times New Roman"/>
          <w:sz w:val="28"/>
          <w:szCs w:val="28"/>
        </w:rPr>
        <w:t xml:space="preserve"> (20%) </w:t>
      </w:r>
      <w:r w:rsidR="00A87355">
        <w:rPr>
          <w:rFonts w:ascii="Times New Roman" w:hAnsi="Times New Roman" w:cs="Times New Roman"/>
          <w:sz w:val="28"/>
          <w:szCs w:val="28"/>
        </w:rPr>
        <w:t>територіальних громадах</w:t>
      </w:r>
      <w:r w:rsidRPr="00B81A1E">
        <w:rPr>
          <w:rFonts w:ascii="Times New Roman" w:hAnsi="Times New Roman" w:cs="Times New Roman"/>
          <w:sz w:val="28"/>
          <w:szCs w:val="28"/>
        </w:rPr>
        <w:t xml:space="preserve">. Перевищення показника більше 10% вказує про недостатні обсяги обстеження населення даним методом, </w:t>
      </w:r>
      <w:r w:rsidR="00602B95" w:rsidRPr="00B81A1E">
        <w:rPr>
          <w:rFonts w:ascii="Times New Roman" w:hAnsi="Times New Roman" w:cs="Times New Roman"/>
          <w:sz w:val="28"/>
          <w:szCs w:val="28"/>
        </w:rPr>
        <w:t xml:space="preserve">насамперед груп ризику з ТБ, </w:t>
      </w:r>
      <w:r w:rsidRPr="00B81A1E">
        <w:rPr>
          <w:rFonts w:ascii="Times New Roman" w:hAnsi="Times New Roman" w:cs="Times New Roman"/>
          <w:sz w:val="28"/>
          <w:szCs w:val="28"/>
        </w:rPr>
        <w:t>порушення алгоритму виявлення ТБ, дефекти роботи пунктів збору мокроти тощо.</w:t>
      </w:r>
    </w:p>
    <w:p w:rsidR="00BB4FF4" w:rsidRDefault="00BB4FF4" w:rsidP="005C44D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B4FF4" w:rsidRPr="005C44DC" w:rsidRDefault="00BB4FF4" w:rsidP="005C4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249726" cy="5088835"/>
            <wp:effectExtent l="0" t="0" r="17780" b="17145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D1BF0" w:rsidRDefault="00602B95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BF0">
        <w:rPr>
          <w:rFonts w:ascii="Times New Roman" w:hAnsi="Times New Roman" w:cs="Times New Roman"/>
          <w:sz w:val="28"/>
          <w:szCs w:val="28"/>
        </w:rPr>
        <w:t>Для забезпечення безперервності та сталості послуг з діагностики ТБ в області з червня 2020 р. в рамках проекту «Підтримка зусиль у протидії туберкульозу в Україні» (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Support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TB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Control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Efforts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Ukraine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), який реалізується в області міжнародною організацією «РАТН» (Програма оптимальних технологій в охороні здоров’я) розроблені маршрути транспортування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біоматеріалу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та курсує автомобіль, який відвідує кожний регіон 1 раз на тиждень.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Послуга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транспортування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на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сьогоднішній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день є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високовартісною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та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потребує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додаткового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фінансового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навантаження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проте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вона не включена в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пакети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надання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послуг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в рамках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Програми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медичних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гарантій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0D1BF0" w:rsidRDefault="00602B95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</w:pPr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Разом з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тим</w:t>
      </w:r>
      <w:proofErr w:type="spellEnd"/>
      <w:r w:rsidR="000F6FCC"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,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даний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ресур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використовується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регіонами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вкрай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незадовільно</w:t>
      </w:r>
      <w:proofErr w:type="spellEnd"/>
      <w:r w:rsidRPr="000D1BF0"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.</w:t>
      </w:r>
    </w:p>
    <w:p w:rsidR="003A2512" w:rsidRDefault="00602B95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Так, за </w:t>
      </w:r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І </w:t>
      </w:r>
      <w:proofErr w:type="spellStart"/>
      <w:proofErr w:type="gramStart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п</w:t>
      </w:r>
      <w:proofErr w:type="gramEnd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івріччя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202</w:t>
      </w:r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р. доставлено </w:t>
      </w:r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343</w:t>
      </w:r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зразк</w:t>
      </w:r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и</w:t>
      </w:r>
      <w:proofErr w:type="spellEnd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біоматеріалу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, в тому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числі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0D1BF0">
        <w:rPr>
          <w:rFonts w:ascii="Times New Roman" w:hAnsi="Times New Roman" w:cs="Times New Roman"/>
          <w:sz w:val="28"/>
          <w:szCs w:val="28"/>
          <w:lang w:val="ru-RU"/>
        </w:rPr>
        <w:br/>
      </w:r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з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діагностично</w:t>
      </w:r>
      <w:r w:rsidR="00B13658" w:rsidRPr="000D1BF0">
        <w:rPr>
          <w:rFonts w:ascii="Times New Roman" w:hAnsi="Times New Roman" w:cs="Times New Roman"/>
          <w:sz w:val="28"/>
          <w:szCs w:val="28"/>
          <w:lang w:val="ru-RU"/>
        </w:rPr>
        <w:t>ю</w:t>
      </w:r>
      <w:proofErr w:type="spellEnd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метою – 300 (</w:t>
      </w:r>
      <w:proofErr w:type="spellStart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виявлено</w:t>
      </w:r>
      <w:proofErr w:type="spellEnd"/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 – 8</w:t>
      </w:r>
      <w:r w:rsidRPr="000D1BF0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3A2512" w:rsidRPr="000D1BF0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0D1BF0">
        <w:rPr>
          <w:rFonts w:ascii="Times New Roman" w:hAnsi="Times New Roman" w:cs="Times New Roman"/>
          <w:sz w:val="28"/>
          <w:szCs w:val="28"/>
          <w:lang w:val="ru-RU"/>
        </w:rPr>
        <w:t xml:space="preserve">% </w:t>
      </w:r>
      <w:proofErr w:type="spellStart"/>
      <w:r w:rsidRPr="000D1BF0">
        <w:rPr>
          <w:rFonts w:ascii="Times New Roman" w:hAnsi="Times New Roman" w:cs="Times New Roman"/>
          <w:sz w:val="28"/>
          <w:szCs w:val="28"/>
          <w:lang w:val="ru-RU"/>
        </w:rPr>
        <w:t>бактеріовиділювачів</w:t>
      </w:r>
      <w:proofErr w:type="spellEnd"/>
      <w:r w:rsidRPr="000D1BF0">
        <w:rPr>
          <w:rFonts w:ascii="Times New Roman" w:hAnsi="Times New Roman" w:cs="Times New Roman"/>
          <w:sz w:val="28"/>
          <w:szCs w:val="28"/>
          <w:lang w:val="ru-RU"/>
        </w:rPr>
        <w:t>).</w:t>
      </w:r>
    </w:p>
    <w:p w:rsidR="000D1BF0" w:rsidRPr="000D1BF0" w:rsidRDefault="000D1BF0" w:rsidP="000D1B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9733C" w:rsidRDefault="00B9733C" w:rsidP="00602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lastRenderedPageBreak/>
        <w:drawing>
          <wp:inline distT="0" distB="0" distL="0" distR="0">
            <wp:extent cx="6225872" cy="2814762"/>
            <wp:effectExtent l="0" t="0" r="22860" b="2413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6059D2" w:rsidRDefault="000D1BF0" w:rsidP="000D1BF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6059D2">
        <w:rPr>
          <w:rFonts w:ascii="Times New Roman" w:hAnsi="Times New Roman" w:cs="Times New Roman"/>
          <w:sz w:val="24"/>
          <w:szCs w:val="24"/>
        </w:rPr>
        <w:t>розрізі регіонів</w:t>
      </w:r>
      <w:r w:rsidR="00485319">
        <w:rPr>
          <w:rFonts w:ascii="Times New Roman" w:hAnsi="Times New Roman" w:cs="Times New Roman"/>
          <w:sz w:val="24"/>
          <w:szCs w:val="24"/>
        </w:rPr>
        <w:t xml:space="preserve"> </w:t>
      </w:r>
      <w:r w:rsidR="004E00AE">
        <w:rPr>
          <w:rFonts w:ascii="Times New Roman" w:hAnsi="Times New Roman" w:cs="Times New Roman"/>
          <w:sz w:val="24"/>
          <w:szCs w:val="24"/>
        </w:rPr>
        <w:t xml:space="preserve">в абсолютних числах </w:t>
      </w:r>
      <w:r w:rsidR="00485319">
        <w:rPr>
          <w:rFonts w:ascii="Times New Roman" w:hAnsi="Times New Roman" w:cs="Times New Roman"/>
          <w:sz w:val="24"/>
          <w:szCs w:val="24"/>
        </w:rPr>
        <w:t>за І півріччя 2021 р.</w:t>
      </w:r>
      <w:r w:rsidR="006059D2">
        <w:rPr>
          <w:rFonts w:ascii="Times New Roman" w:hAnsi="Times New Roman" w:cs="Times New Roman"/>
          <w:sz w:val="24"/>
          <w:szCs w:val="24"/>
        </w:rPr>
        <w:t>:</w:t>
      </w:r>
    </w:p>
    <w:p w:rsidR="00485319" w:rsidRDefault="00485319" w:rsidP="00602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25872" cy="3204376"/>
            <wp:effectExtent l="0" t="0" r="22860" b="1524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0D1BF0" w:rsidRDefault="00812655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BF0">
        <w:rPr>
          <w:rFonts w:ascii="Times New Roman" w:hAnsi="Times New Roman" w:cs="Times New Roman"/>
          <w:sz w:val="28"/>
          <w:szCs w:val="28"/>
        </w:rPr>
        <w:t xml:space="preserve">З наведеного графіка необхідно відзначити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Драбівськ</w:t>
      </w:r>
      <w:r w:rsidR="00A87355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>, Уманськ</w:t>
      </w:r>
      <w:r w:rsidR="007675B1">
        <w:rPr>
          <w:rFonts w:ascii="Times New Roman" w:hAnsi="Times New Roman" w:cs="Times New Roman"/>
          <w:sz w:val="28"/>
          <w:szCs w:val="28"/>
        </w:rPr>
        <w:t>у</w:t>
      </w:r>
      <w:r w:rsidRPr="000D1BF0">
        <w:rPr>
          <w:rFonts w:ascii="Times New Roman" w:hAnsi="Times New Roman" w:cs="Times New Roman"/>
          <w:sz w:val="28"/>
          <w:szCs w:val="28"/>
        </w:rPr>
        <w:t xml:space="preserve"> та, особливо,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Шполянськ</w:t>
      </w:r>
      <w:r w:rsidR="007675B1">
        <w:rPr>
          <w:rFonts w:ascii="Times New Roman" w:hAnsi="Times New Roman" w:cs="Times New Roman"/>
          <w:sz w:val="28"/>
          <w:szCs w:val="28"/>
        </w:rPr>
        <w:t>у</w:t>
      </w:r>
      <w:proofErr w:type="spellEnd"/>
      <w:r w:rsidR="007675B1" w:rsidRPr="007675B1">
        <w:rPr>
          <w:rFonts w:ascii="Times New Roman" w:hAnsi="Times New Roman" w:cs="Times New Roman"/>
          <w:sz w:val="28"/>
          <w:szCs w:val="28"/>
        </w:rPr>
        <w:t xml:space="preserve"> </w:t>
      </w:r>
      <w:r w:rsidR="007675B1">
        <w:rPr>
          <w:rFonts w:ascii="Times New Roman" w:hAnsi="Times New Roman" w:cs="Times New Roman"/>
          <w:sz w:val="28"/>
          <w:szCs w:val="28"/>
        </w:rPr>
        <w:t>територіальні громади</w:t>
      </w:r>
      <w:r w:rsidRPr="000D1BF0">
        <w:rPr>
          <w:rFonts w:ascii="Times New Roman" w:hAnsi="Times New Roman" w:cs="Times New Roman"/>
          <w:sz w:val="28"/>
          <w:szCs w:val="28"/>
        </w:rPr>
        <w:t xml:space="preserve">, де не тільки організована робота по збору та транспортуванню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біоматеріалу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на відносно задовільному рівні, а також зроблений акцент саме на ті контингенти осіб, де прогнозовано можна виявити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бактеріовиділювача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>.</w:t>
      </w:r>
    </w:p>
    <w:p w:rsidR="000D1BF0" w:rsidRDefault="00DC6346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BF0">
        <w:rPr>
          <w:rFonts w:ascii="Times New Roman" w:hAnsi="Times New Roman" w:cs="Times New Roman"/>
          <w:sz w:val="28"/>
          <w:szCs w:val="28"/>
        </w:rPr>
        <w:t xml:space="preserve">По регіонам, що розглядаються, вражає організація </w:t>
      </w:r>
      <w:r w:rsidR="005043F9" w:rsidRPr="000D1BF0">
        <w:rPr>
          <w:rFonts w:ascii="Times New Roman" w:hAnsi="Times New Roman" w:cs="Times New Roman"/>
          <w:sz w:val="28"/>
          <w:szCs w:val="28"/>
        </w:rPr>
        <w:t>роботи в напрямку</w:t>
      </w:r>
      <w:r w:rsidR="007675B1">
        <w:rPr>
          <w:rFonts w:ascii="Times New Roman" w:hAnsi="Times New Roman" w:cs="Times New Roman"/>
          <w:sz w:val="28"/>
          <w:szCs w:val="28"/>
        </w:rPr>
        <w:t xml:space="preserve"> виявлення </w:t>
      </w:r>
      <w:proofErr w:type="spellStart"/>
      <w:r w:rsidR="007675B1">
        <w:rPr>
          <w:rFonts w:ascii="Times New Roman" w:hAnsi="Times New Roman" w:cs="Times New Roman"/>
          <w:sz w:val="28"/>
          <w:szCs w:val="28"/>
        </w:rPr>
        <w:t>бактеріовиділювачів</w:t>
      </w:r>
      <w:proofErr w:type="spellEnd"/>
      <w:r w:rsidR="007675B1">
        <w:rPr>
          <w:rFonts w:ascii="Times New Roman" w:hAnsi="Times New Roman" w:cs="Times New Roman"/>
          <w:sz w:val="28"/>
          <w:szCs w:val="28"/>
        </w:rPr>
        <w:t xml:space="preserve"> у</w:t>
      </w:r>
      <w:r w:rsidR="005043F9" w:rsidRPr="000D1BF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43F9" w:rsidRPr="000D1BF0">
        <w:rPr>
          <w:rFonts w:ascii="Times New Roman" w:hAnsi="Times New Roman" w:cs="Times New Roman"/>
          <w:b/>
          <w:sz w:val="28"/>
          <w:szCs w:val="28"/>
          <w:u w:val="single"/>
        </w:rPr>
        <w:t>Маньківськ</w:t>
      </w:r>
      <w:r w:rsidR="007675B1">
        <w:rPr>
          <w:rFonts w:ascii="Times New Roman" w:hAnsi="Times New Roman" w:cs="Times New Roman"/>
          <w:b/>
          <w:sz w:val="28"/>
          <w:szCs w:val="28"/>
          <w:u w:val="single"/>
        </w:rPr>
        <w:t>ій</w:t>
      </w:r>
      <w:proofErr w:type="spellEnd"/>
      <w:r w:rsidR="007675B1" w:rsidRPr="007675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75B1">
        <w:rPr>
          <w:rFonts w:ascii="Times New Roman" w:hAnsi="Times New Roman" w:cs="Times New Roman"/>
          <w:sz w:val="28"/>
          <w:szCs w:val="28"/>
        </w:rPr>
        <w:t>територіальній громаді.</w:t>
      </w:r>
      <w:r w:rsidR="005043F9" w:rsidRPr="000D1BF0">
        <w:rPr>
          <w:rFonts w:ascii="Times New Roman" w:hAnsi="Times New Roman" w:cs="Times New Roman"/>
          <w:sz w:val="28"/>
          <w:szCs w:val="28"/>
        </w:rPr>
        <w:t xml:space="preserve"> </w:t>
      </w:r>
      <w:r w:rsidR="007675B1">
        <w:rPr>
          <w:rFonts w:ascii="Times New Roman" w:hAnsi="Times New Roman" w:cs="Times New Roman"/>
          <w:sz w:val="28"/>
          <w:szCs w:val="28"/>
        </w:rPr>
        <w:br/>
      </w:r>
      <w:r w:rsidR="005043F9" w:rsidRPr="000D1BF0">
        <w:rPr>
          <w:rFonts w:ascii="Times New Roman" w:hAnsi="Times New Roman" w:cs="Times New Roman"/>
          <w:sz w:val="28"/>
          <w:szCs w:val="28"/>
        </w:rPr>
        <w:t xml:space="preserve">А саме, за І півріччя 2021 р., шляхом транспортування направлено лише 3 зразки, і жодного </w:t>
      </w:r>
      <w:proofErr w:type="spellStart"/>
      <w:r w:rsidR="005043F9" w:rsidRPr="000D1BF0">
        <w:rPr>
          <w:rFonts w:ascii="Times New Roman" w:hAnsi="Times New Roman" w:cs="Times New Roman"/>
          <w:sz w:val="28"/>
          <w:szCs w:val="28"/>
        </w:rPr>
        <w:t>бакетріовиділювача</w:t>
      </w:r>
      <w:proofErr w:type="spellEnd"/>
      <w:r w:rsidR="005043F9" w:rsidRPr="000D1BF0">
        <w:rPr>
          <w:rFonts w:ascii="Times New Roman" w:hAnsi="Times New Roman" w:cs="Times New Roman"/>
          <w:sz w:val="28"/>
          <w:szCs w:val="28"/>
        </w:rPr>
        <w:t xml:space="preserve"> не виявлено.</w:t>
      </w:r>
      <w:r w:rsidRPr="000D1B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44DC" w:rsidRPr="000D1BF0" w:rsidRDefault="007237E1" w:rsidP="000D1BF0">
      <w:pPr>
        <w:spacing w:after="0" w:line="240" w:lineRule="auto"/>
        <w:ind w:righ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D1BF0">
        <w:rPr>
          <w:rFonts w:ascii="Times New Roman" w:hAnsi="Times New Roman" w:cs="Times New Roman"/>
          <w:sz w:val="28"/>
          <w:szCs w:val="28"/>
        </w:rPr>
        <w:t xml:space="preserve">Також необхідно звернути увагу на обсяги обстежень з метою виявлення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бактеріовиділювачів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направлених з первинної ланки після </w:t>
      </w:r>
      <w:proofErr w:type="spellStart"/>
      <w:r w:rsidRPr="000D1BF0">
        <w:rPr>
          <w:rFonts w:ascii="Times New Roman" w:hAnsi="Times New Roman" w:cs="Times New Roman"/>
          <w:sz w:val="28"/>
          <w:szCs w:val="28"/>
        </w:rPr>
        <w:t>скринінгового</w:t>
      </w:r>
      <w:proofErr w:type="spellEnd"/>
      <w:r w:rsidRPr="000D1BF0">
        <w:rPr>
          <w:rFonts w:ascii="Times New Roman" w:hAnsi="Times New Roman" w:cs="Times New Roman"/>
          <w:sz w:val="28"/>
          <w:szCs w:val="28"/>
        </w:rPr>
        <w:t xml:space="preserve"> анкетування та виявлення на вторинній ланці.</w:t>
      </w:r>
    </w:p>
    <w:p w:rsidR="007237E1" w:rsidRDefault="007237E1" w:rsidP="005C4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141E4E47" wp14:editId="69ADB0DD">
            <wp:extent cx="6114553" cy="2934032"/>
            <wp:effectExtent l="0" t="0" r="19685" b="1905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6F4BE7" w:rsidRDefault="006F4BE7" w:rsidP="005C4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регіонам, що розглядаються на засіданні:</w:t>
      </w:r>
    </w:p>
    <w:p w:rsidR="005043F9" w:rsidRPr="005C44DC" w:rsidRDefault="005043F9" w:rsidP="005C44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6248400" cy="3200400"/>
            <wp:effectExtent l="0" t="0" r="19050" b="1905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A30DDF" w:rsidRDefault="005C44DC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 xml:space="preserve">Низька кількість обстежених осіб, які направлені з первинної ланки, а також виявлення </w:t>
      </w:r>
      <w:proofErr w:type="spellStart"/>
      <w:r w:rsidRPr="00A30DDF">
        <w:rPr>
          <w:rFonts w:ascii="Times New Roman" w:hAnsi="Times New Roman" w:cs="Times New Roman"/>
          <w:sz w:val="28"/>
          <w:szCs w:val="28"/>
        </w:rPr>
        <w:t>бактеріовиділювачів</w:t>
      </w:r>
      <w:proofErr w:type="spellEnd"/>
      <w:r w:rsidRPr="00A30DDF">
        <w:rPr>
          <w:rFonts w:ascii="Times New Roman" w:hAnsi="Times New Roman" w:cs="Times New Roman"/>
          <w:sz w:val="28"/>
          <w:szCs w:val="28"/>
        </w:rPr>
        <w:t xml:space="preserve"> переважно за направленнями вторинної ланки, вказує на порушення алгоритму виявлення хворих на ТБ і, як наслідок, </w:t>
      </w:r>
      <w:proofErr w:type="spellStart"/>
      <w:r w:rsidRPr="00A30DDF">
        <w:rPr>
          <w:rFonts w:ascii="Times New Roman" w:hAnsi="Times New Roman" w:cs="Times New Roman"/>
          <w:sz w:val="28"/>
          <w:szCs w:val="28"/>
        </w:rPr>
        <w:t>недовиявлення</w:t>
      </w:r>
      <w:proofErr w:type="spellEnd"/>
      <w:r w:rsidRPr="00A30DDF">
        <w:rPr>
          <w:rFonts w:ascii="Times New Roman" w:hAnsi="Times New Roman" w:cs="Times New Roman"/>
          <w:sz w:val="28"/>
          <w:szCs w:val="28"/>
        </w:rPr>
        <w:t xml:space="preserve"> хворих на ТБ, в тому числі на заразні форми. </w:t>
      </w:r>
      <w:proofErr w:type="spellStart"/>
      <w:r w:rsidR="004A198D" w:rsidRPr="00A30DDF">
        <w:rPr>
          <w:rFonts w:ascii="Times New Roman" w:hAnsi="Times New Roman" w:cs="Times New Roman"/>
          <w:sz w:val="28"/>
          <w:szCs w:val="28"/>
        </w:rPr>
        <w:t>Недовиявлення</w:t>
      </w:r>
      <w:proofErr w:type="spellEnd"/>
      <w:r w:rsidR="004A198D" w:rsidRPr="00A30DDF">
        <w:rPr>
          <w:rFonts w:ascii="Times New Roman" w:hAnsi="Times New Roman" w:cs="Times New Roman"/>
          <w:sz w:val="28"/>
          <w:szCs w:val="28"/>
        </w:rPr>
        <w:t xml:space="preserve"> хворих на ТБ</w:t>
      </w:r>
      <w:r w:rsidRPr="00A30DDF">
        <w:rPr>
          <w:rFonts w:ascii="Times New Roman" w:hAnsi="Times New Roman" w:cs="Times New Roman"/>
          <w:sz w:val="28"/>
          <w:szCs w:val="28"/>
        </w:rPr>
        <w:t xml:space="preserve"> підтверджується також і тим, що кількість занедбаних форм ТБ, які призводять до смертності від ТБ до 1 року спостер</w:t>
      </w:r>
      <w:r w:rsidR="0091364D" w:rsidRPr="00A30DDF">
        <w:rPr>
          <w:rFonts w:ascii="Times New Roman" w:hAnsi="Times New Roman" w:cs="Times New Roman"/>
          <w:sz w:val="28"/>
          <w:szCs w:val="28"/>
        </w:rPr>
        <w:t>е</w:t>
      </w:r>
      <w:r w:rsidRPr="00A30DDF">
        <w:rPr>
          <w:rFonts w:ascii="Times New Roman" w:hAnsi="Times New Roman" w:cs="Times New Roman"/>
          <w:sz w:val="28"/>
          <w:szCs w:val="28"/>
        </w:rPr>
        <w:t xml:space="preserve">ження, на фоні зниження захворюваності має стабільно </w:t>
      </w:r>
      <w:r w:rsidR="003013E1" w:rsidRPr="00A30DDF">
        <w:rPr>
          <w:rFonts w:ascii="Times New Roman" w:hAnsi="Times New Roman" w:cs="Times New Roman"/>
          <w:sz w:val="28"/>
          <w:szCs w:val="28"/>
        </w:rPr>
        <w:t>високий показник і становить 3,6 на 100 тис. населення, що в 2</w:t>
      </w:r>
      <w:r w:rsidRPr="00A30DDF">
        <w:rPr>
          <w:rFonts w:ascii="Times New Roman" w:hAnsi="Times New Roman" w:cs="Times New Roman"/>
          <w:sz w:val="28"/>
          <w:szCs w:val="28"/>
        </w:rPr>
        <w:t xml:space="preserve"> р</w:t>
      </w:r>
      <w:r w:rsidR="003013E1" w:rsidRPr="00A30DDF">
        <w:rPr>
          <w:rFonts w:ascii="Times New Roman" w:hAnsi="Times New Roman" w:cs="Times New Roman"/>
          <w:sz w:val="28"/>
          <w:szCs w:val="28"/>
        </w:rPr>
        <w:t>ази більше ніж в І півріччі 2020</w:t>
      </w:r>
      <w:r w:rsidRPr="00A30DDF">
        <w:rPr>
          <w:rFonts w:ascii="Times New Roman" w:hAnsi="Times New Roman" w:cs="Times New Roman"/>
          <w:sz w:val="28"/>
          <w:szCs w:val="28"/>
        </w:rPr>
        <w:t xml:space="preserve"> р., коли показник </w:t>
      </w:r>
      <w:r w:rsidR="00A30DDF">
        <w:rPr>
          <w:rFonts w:ascii="Times New Roman" w:hAnsi="Times New Roman" w:cs="Times New Roman"/>
          <w:sz w:val="28"/>
          <w:szCs w:val="28"/>
        </w:rPr>
        <w:t>становив</w:t>
      </w:r>
      <w:r w:rsidRPr="00A30DDF">
        <w:rPr>
          <w:rFonts w:ascii="Times New Roman" w:hAnsi="Times New Roman" w:cs="Times New Roman"/>
          <w:sz w:val="28"/>
          <w:szCs w:val="28"/>
        </w:rPr>
        <w:t xml:space="preserve"> </w:t>
      </w:r>
      <w:r w:rsidR="003013E1" w:rsidRPr="00A30DDF">
        <w:rPr>
          <w:rFonts w:ascii="Times New Roman" w:hAnsi="Times New Roman" w:cs="Times New Roman"/>
          <w:sz w:val="28"/>
          <w:szCs w:val="28"/>
        </w:rPr>
        <w:t>1</w:t>
      </w:r>
      <w:r w:rsidRPr="00A30DDF">
        <w:rPr>
          <w:rFonts w:ascii="Times New Roman" w:hAnsi="Times New Roman" w:cs="Times New Roman"/>
          <w:sz w:val="28"/>
          <w:szCs w:val="28"/>
        </w:rPr>
        <w:t>,7</w:t>
      </w:r>
      <w:r w:rsidR="003013E1" w:rsidRPr="00A30DDF">
        <w:rPr>
          <w:rFonts w:ascii="Times New Roman" w:hAnsi="Times New Roman" w:cs="Times New Roman"/>
          <w:sz w:val="28"/>
          <w:szCs w:val="28"/>
        </w:rPr>
        <w:t>8</w:t>
      </w:r>
      <w:r w:rsidRPr="00A30DDF">
        <w:rPr>
          <w:rFonts w:ascii="Times New Roman" w:hAnsi="Times New Roman" w:cs="Times New Roman"/>
          <w:sz w:val="28"/>
          <w:szCs w:val="28"/>
        </w:rPr>
        <w:t xml:space="preserve"> на 100 тис. населення</w:t>
      </w:r>
      <w:r w:rsidR="003013E1" w:rsidRPr="00A30DDF">
        <w:rPr>
          <w:rFonts w:ascii="Times New Roman" w:hAnsi="Times New Roman" w:cs="Times New Roman"/>
          <w:sz w:val="28"/>
          <w:szCs w:val="28"/>
        </w:rPr>
        <w:t>.</w:t>
      </w:r>
    </w:p>
    <w:p w:rsidR="00A30DDF" w:rsidRDefault="009C431B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 xml:space="preserve">Зменшення абсолютної кількості виявлених хворих на ТБ, на фоні зростання кількості занедбаних форм, що призводять до зростання показника </w:t>
      </w:r>
      <w:r w:rsidRPr="00A30DDF">
        <w:rPr>
          <w:rFonts w:ascii="Times New Roman" w:hAnsi="Times New Roman" w:cs="Times New Roman"/>
          <w:sz w:val="28"/>
          <w:szCs w:val="28"/>
        </w:rPr>
        <w:lastRenderedPageBreak/>
        <w:t>смертності</w:t>
      </w:r>
      <w:r w:rsidR="0085689C" w:rsidRPr="00A30DDF">
        <w:rPr>
          <w:rFonts w:ascii="Times New Roman" w:hAnsi="Times New Roman" w:cs="Times New Roman"/>
          <w:sz w:val="28"/>
          <w:szCs w:val="28"/>
        </w:rPr>
        <w:t>,</w:t>
      </w:r>
      <w:r w:rsidRPr="00A30DDF">
        <w:rPr>
          <w:rFonts w:ascii="Times New Roman" w:hAnsi="Times New Roman" w:cs="Times New Roman"/>
          <w:sz w:val="28"/>
          <w:szCs w:val="28"/>
        </w:rPr>
        <w:t xml:space="preserve"> впливають на рівень оплати коштів з боку НСЗУ як на заклад третинного рівня, так і на заклади первинного рівня. </w:t>
      </w:r>
    </w:p>
    <w:p w:rsidR="00A30DDF" w:rsidRDefault="009C431B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>Так,</w:t>
      </w:r>
      <w:r w:rsidR="00EF39C0" w:rsidRPr="00A30DDF">
        <w:rPr>
          <w:rFonts w:ascii="Times New Roman" w:hAnsi="Times New Roman" w:cs="Times New Roman"/>
          <w:sz w:val="28"/>
          <w:szCs w:val="28"/>
        </w:rPr>
        <w:t xml:space="preserve"> стан фінансування КНП «ЧОПТД ЧОР» за основним пакетом залежить від кількості зареєстрованих пацієнтів, тому прогнозовано очікується зменшення кількості видатків на 2022 р. з боку НСЗУ для закладу внаслідок </w:t>
      </w:r>
      <w:proofErr w:type="spellStart"/>
      <w:r w:rsidR="00EF39C0" w:rsidRPr="00A30DDF">
        <w:rPr>
          <w:rFonts w:ascii="Times New Roman" w:hAnsi="Times New Roman" w:cs="Times New Roman"/>
          <w:sz w:val="28"/>
          <w:szCs w:val="28"/>
        </w:rPr>
        <w:t>недовиявлення</w:t>
      </w:r>
      <w:proofErr w:type="spellEnd"/>
      <w:r w:rsidR="00EF39C0" w:rsidRPr="00A30DDF">
        <w:rPr>
          <w:rFonts w:ascii="Times New Roman" w:hAnsi="Times New Roman" w:cs="Times New Roman"/>
          <w:sz w:val="28"/>
          <w:szCs w:val="28"/>
        </w:rPr>
        <w:t xml:space="preserve"> пацієнтів, що є неприпустимим!</w:t>
      </w:r>
    </w:p>
    <w:p w:rsidR="00A30DDF" w:rsidRDefault="00EF39C0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 xml:space="preserve">Разом з тим, </w:t>
      </w:r>
      <w:r w:rsidR="00A30DDF">
        <w:rPr>
          <w:rFonts w:ascii="Times New Roman" w:hAnsi="Times New Roman" w:cs="Times New Roman"/>
          <w:sz w:val="28"/>
          <w:szCs w:val="28"/>
        </w:rPr>
        <w:t>у</w:t>
      </w:r>
      <w:r w:rsidRPr="00A30DDF">
        <w:rPr>
          <w:rFonts w:ascii="Times New Roman" w:hAnsi="Times New Roman" w:cs="Times New Roman"/>
          <w:sz w:val="28"/>
          <w:szCs w:val="28"/>
        </w:rPr>
        <w:t xml:space="preserve"> 2021 р. на пакет  «СУПРОВІД ТА ЛІКУВАННЯ ДОРОСЛИХ ТА ДІТЕЙ, ХВОРИХ НА ТУБЕРКУЛЬОЗ, НА ПЕРВИННОМУ РІВНІ МЕДИЧНОЇ ДОПОМОГИ»</w:t>
      </w:r>
      <w:r w:rsidRPr="00A30DD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0DDF">
        <w:rPr>
          <w:rFonts w:ascii="Times New Roman" w:hAnsi="Times New Roman" w:cs="Times New Roman"/>
          <w:sz w:val="28"/>
          <w:szCs w:val="28"/>
        </w:rPr>
        <w:t>законтрактовано 20 закладів ЦПМСД на загальну суму 3 млн. грн.</w:t>
      </w:r>
      <w:r w:rsidR="00861034" w:rsidRPr="00A30DDF">
        <w:rPr>
          <w:rFonts w:ascii="Times New Roman" w:hAnsi="Times New Roman" w:cs="Times New Roman"/>
          <w:sz w:val="28"/>
          <w:szCs w:val="28"/>
        </w:rPr>
        <w:t xml:space="preserve"> до кінця 2021 р.</w:t>
      </w:r>
    </w:p>
    <w:p w:rsidR="00A30DDF" w:rsidRDefault="00EF39C0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>В період з квітня по серпень 2021 р. закладами ЦПМСД отримано лише 137,756 тис. грн. за даним напрямком (</w:t>
      </w:r>
      <w:proofErr w:type="spellStart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>Лисянський</w:t>
      </w:r>
      <w:proofErr w:type="spellEnd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 xml:space="preserve"> ЦПМСД – 7756 грн.</w:t>
      </w:r>
      <w:r w:rsidRPr="00A30DDF"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>Кам’янський</w:t>
      </w:r>
      <w:proofErr w:type="spellEnd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 xml:space="preserve"> ЦПМСД – 4650 грн.</w:t>
      </w:r>
      <w:r w:rsidRPr="00A30D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>Маньківський</w:t>
      </w:r>
      <w:proofErr w:type="spellEnd"/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 xml:space="preserve"> ЦПМСД </w:t>
      </w:r>
      <w:r w:rsidR="000E59C5" w:rsidRPr="00A30DDF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Pr="00A30DDF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E59C5" w:rsidRPr="00A30DDF">
        <w:rPr>
          <w:rFonts w:ascii="Times New Roman" w:hAnsi="Times New Roman" w:cs="Times New Roman"/>
          <w:b/>
          <w:sz w:val="28"/>
          <w:szCs w:val="28"/>
          <w:u w:val="single"/>
        </w:rPr>
        <w:t>1744 грн</w:t>
      </w:r>
      <w:r w:rsidR="00A30DDF">
        <w:rPr>
          <w:rFonts w:ascii="Times New Roman" w:hAnsi="Times New Roman" w:cs="Times New Roman"/>
          <w:sz w:val="28"/>
          <w:szCs w:val="28"/>
        </w:rPr>
        <w:t xml:space="preserve">.). </w:t>
      </w:r>
    </w:p>
    <w:p w:rsidR="00A30DDF" w:rsidRDefault="000E59C5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>Отримана сума коштів закладами ЦПМСД за 5 місяців 2021 р. вказує на вкрай незадовільні обсяги охоплення амбулаторним лікуванням пацієнтів за пакетом «СУПРОВІД ТА ЛІКУВАННЯ ДОРОСЛИХ ТА ДІТЕЙ, ХВОРИХ НА ТУБЕРКУЛЬОЗ, НА ПЕРВИННОМУ РІВНІ МЕДИЧНОЇ ДОПОМОГИ»</w:t>
      </w:r>
      <w:r w:rsidR="00861034" w:rsidRPr="00A30DDF">
        <w:rPr>
          <w:rFonts w:ascii="Times New Roman" w:hAnsi="Times New Roman" w:cs="Times New Roman"/>
          <w:sz w:val="28"/>
          <w:szCs w:val="28"/>
        </w:rPr>
        <w:t>, що може бути пов’язано з наступними причинами:</w:t>
      </w:r>
    </w:p>
    <w:p w:rsidR="00A30DDF" w:rsidRDefault="00A30DDF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861034" w:rsidRPr="00A30DDF">
        <w:rPr>
          <w:rFonts w:ascii="Times New Roman" w:hAnsi="Times New Roman" w:cs="Times New Roman"/>
          <w:sz w:val="28"/>
          <w:szCs w:val="28"/>
        </w:rPr>
        <w:t>Відсутність декларацій з сімейни</w:t>
      </w:r>
      <w:r>
        <w:rPr>
          <w:rFonts w:ascii="Times New Roman" w:hAnsi="Times New Roman" w:cs="Times New Roman"/>
          <w:sz w:val="28"/>
          <w:szCs w:val="28"/>
        </w:rPr>
        <w:t xml:space="preserve">ми лікарями у наявних пацієнтів. </w:t>
      </w:r>
    </w:p>
    <w:p w:rsidR="00A30DDF" w:rsidRDefault="00A30DDF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861034" w:rsidRPr="00A30DDF">
        <w:rPr>
          <w:rFonts w:ascii="Times New Roman" w:hAnsi="Times New Roman" w:cs="Times New Roman"/>
          <w:sz w:val="28"/>
          <w:szCs w:val="28"/>
        </w:rPr>
        <w:t xml:space="preserve">Зниження абсолютної кількості пацієнтів внаслідок </w:t>
      </w:r>
      <w:proofErr w:type="spellStart"/>
      <w:r w:rsidR="00861034" w:rsidRPr="00A30DDF">
        <w:rPr>
          <w:rFonts w:ascii="Times New Roman" w:hAnsi="Times New Roman" w:cs="Times New Roman"/>
          <w:sz w:val="28"/>
          <w:szCs w:val="28"/>
        </w:rPr>
        <w:t>недовиявлення</w:t>
      </w:r>
      <w:proofErr w:type="spellEnd"/>
      <w:r w:rsidR="00861034" w:rsidRPr="00A30DDF">
        <w:rPr>
          <w:rFonts w:ascii="Times New Roman" w:hAnsi="Times New Roman" w:cs="Times New Roman"/>
          <w:sz w:val="28"/>
          <w:szCs w:val="28"/>
        </w:rPr>
        <w:t xml:space="preserve"> хворих на ТБ.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0DDF" w:rsidRDefault="00A30DDF" w:rsidP="007675B1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>Як висновок, фінансове забезпечення КНП «ЧОПТД ЧОР» та ЦПМСД ( по пакету «СУПРОВІД ТА ЛІКУВАННЯ ДОРОСЛИХ ТА ДІТЕЙ, ХВОРИХ НА ТУБЕРКУЛЬОЗ, НА ПЕРВИННОМУ РІВНІ МЕДИЧНОЇ ДОПОМОГИ») залежить від організації ефективного раннього виявлення, яке є пріоритетним завданням ЦПМСД за основним пакетом НСЗУ</w:t>
      </w:r>
      <w:r w:rsidRPr="00A30DD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(«</w:t>
      </w:r>
      <w:r w:rsidRPr="00A30DDF">
        <w:rPr>
          <w:rFonts w:ascii="Times New Roman" w:hAnsi="Times New Roman" w:cs="Times New Roman"/>
          <w:b/>
          <w:sz w:val="28"/>
          <w:szCs w:val="28"/>
        </w:rPr>
        <w:t>ПЕРВИННА МЕДИЧНА ДОПОМОГА»).</w:t>
      </w:r>
    </w:p>
    <w:p w:rsidR="00A30DDF" w:rsidRDefault="00A30DDF" w:rsidP="00A30DD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675B1" w:rsidRDefault="007675B1" w:rsidP="00A30DDF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0DDF" w:rsidRPr="00A30DDF" w:rsidRDefault="00A30DDF" w:rsidP="00A30DDF">
      <w:pPr>
        <w:jc w:val="both"/>
        <w:rPr>
          <w:rFonts w:ascii="Times New Roman" w:hAnsi="Times New Roman" w:cs="Times New Roman"/>
          <w:sz w:val="28"/>
          <w:szCs w:val="28"/>
        </w:rPr>
      </w:pPr>
      <w:r w:rsidRPr="00A30DDF">
        <w:rPr>
          <w:rFonts w:ascii="Times New Roman" w:hAnsi="Times New Roman" w:cs="Times New Roman"/>
          <w:sz w:val="28"/>
          <w:szCs w:val="28"/>
        </w:rPr>
        <w:t>Головний позаштатний фтизіатр УОЗ ОДА                                Д.О.</w:t>
      </w:r>
      <w:proofErr w:type="spellStart"/>
      <w:r w:rsidRPr="00A30DDF">
        <w:rPr>
          <w:rFonts w:ascii="Times New Roman" w:hAnsi="Times New Roman" w:cs="Times New Roman"/>
          <w:sz w:val="28"/>
          <w:szCs w:val="28"/>
        </w:rPr>
        <w:t>Левандовська</w:t>
      </w:r>
      <w:proofErr w:type="spellEnd"/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995"/>
        <w:gridCol w:w="461"/>
      </w:tblGrid>
      <w:tr w:rsidR="00A74F33" w:rsidRPr="00A30DDF" w:rsidTr="00BA3B34">
        <w:trPr>
          <w:trHeight w:val="5940"/>
        </w:trPr>
        <w:tc>
          <w:tcPr>
            <w:tcW w:w="99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1A59" w:rsidRPr="00A30DDF" w:rsidRDefault="006F4BE7" w:rsidP="00A74F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0D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До </w:t>
            </w:r>
            <w:r w:rsidR="00D31A59" w:rsidRPr="00A30DDF">
              <w:rPr>
                <w:rFonts w:ascii="Times New Roman" w:hAnsi="Times New Roman" w:cs="Times New Roman"/>
                <w:sz w:val="28"/>
                <w:szCs w:val="28"/>
              </w:rPr>
              <w:t>проекту рішення:</w:t>
            </w:r>
          </w:p>
          <w:p w:rsidR="00D31A59" w:rsidRPr="00A30DDF" w:rsidRDefault="00D31A59" w:rsidP="00D31A5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Заслухавши і обговоривши доповідь головного позаштатного фтизіатра Управління охорони здоров’я </w:t>
            </w:r>
            <w:proofErr w:type="spellStart"/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Левандовської</w:t>
            </w:r>
            <w:proofErr w:type="spellEnd"/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Д.О., відзначає</w:t>
            </w:r>
            <w:r w:rsidR="006F4BE7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ться</w:t>
            </w:r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що в цілому </w:t>
            </w:r>
            <w:r w:rsid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 області проводиться робота по виконанню заходів протидії захворюванню </w:t>
            </w:r>
            <w:r w:rsid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туберкульоз, направлених на </w:t>
            </w:r>
            <w:r w:rsidRP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поліпшення раннього виявлення хворих </w:t>
            </w:r>
            <w:r w:rsid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br/>
            </w:r>
            <w:r w:rsidRP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на  туберкульоз. Разом з тим, наявний ряд недоліків, а саме:</w:t>
            </w:r>
          </w:p>
          <w:p w:rsidR="00A30DDF" w:rsidRDefault="00A30DDF" w:rsidP="00A30DD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1. </w:t>
            </w:r>
            <w:r w:rsidR="006F4BE7" w:rsidRP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Відсутність системного підходу в формуванні та обстеженні груп ризику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br/>
            </w:r>
            <w:r w:rsidR="006F4BE7" w:rsidRP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з туберкульозу на первинному 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рівні надання медичної допомоги. </w:t>
            </w:r>
          </w:p>
          <w:p w:rsidR="00A30DDF" w:rsidRDefault="00A30DDF" w:rsidP="00A30DD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2. </w:t>
            </w:r>
            <w:r w:rsidR="00D31A59" w:rsidRPr="00A30DDF"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>Переважання пасивного виявлення хворих на туберкульоз серед груп  ризику щодо захворювання на туберкульоз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. </w:t>
            </w:r>
          </w:p>
          <w:p w:rsidR="00A30DDF" w:rsidRDefault="00A30DDF" w:rsidP="00A30DD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  <w:lang w:eastAsia="ru-RU"/>
              </w:rPr>
              <w:t xml:space="preserve">3. 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Недотриманий в повній мірі алгоритм виявлення хворих на туберкульоз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A30DDF" w:rsidRDefault="00A30DDF" w:rsidP="00A30DDF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 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Незадовільний диспансерний нагляд за особами, віднесеними до груп  ризику щодо захворювання на туберкульоз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44CA7" w:rsidRPr="00A30DDF" w:rsidRDefault="00A30DDF" w:rsidP="00BA3B34">
            <w:pPr>
              <w:spacing w:after="0" w:line="240" w:lineRule="auto"/>
              <w:ind w:firstLine="42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 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Недостатній контроль за лікуванням хворих на амбулаторному етапі та  проведення </w:t>
            </w:r>
            <w:proofErr w:type="spellStart"/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хіміопрофілакти</w:t>
            </w:r>
            <w:r w:rsidR="00144CA7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="00144CA7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особам що її потребують.</w:t>
            </w:r>
          </w:p>
          <w:p w:rsidR="00D31A59" w:rsidRPr="00A30DDF" w:rsidRDefault="00A44C39" w:rsidP="00D31A5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Враховуючи вищезазначене пропонується внести до проекту рішення наступне:</w:t>
            </w:r>
          </w:p>
          <w:p w:rsidR="00A44C39" w:rsidRDefault="00A44C39" w:rsidP="00A44C39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 </w:t>
            </w:r>
            <w:r w:rsidR="00D31A59" w:rsidRPr="00A4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Інформацію головного позаштатного фтизіатра </w:t>
            </w:r>
            <w:proofErr w:type="spellStart"/>
            <w:r w:rsidR="00D31A59" w:rsidRPr="00A4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Левандовської</w:t>
            </w:r>
            <w:proofErr w:type="spellEnd"/>
            <w:r w:rsidR="00D31A59" w:rsidRPr="00A44C3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Д.О.    прийняти до відома.</w:t>
            </w:r>
          </w:p>
          <w:p w:rsidR="00C577B4" w:rsidRDefault="00A44C39" w:rsidP="00C577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C577B4" w:rsidRPr="00843B73"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Департаменту охорони здоров’я та медичних послуг Черкаської міської ради, керівникам міських, районних медичних установ вторинної ланки, центрів первинної медико-санітарної допомоги</w:t>
            </w:r>
            <w:r w:rsidR="00C577B4">
              <w:rPr>
                <w:b/>
                <w:sz w:val="28"/>
                <w:szCs w:val="28"/>
                <w:lang w:eastAsia="ru-RU"/>
              </w:rPr>
              <w:t xml:space="preserve"> </w:t>
            </w:r>
            <w:r w:rsidR="00C577B4" w:rsidRPr="00C577B4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абезпечити:</w:t>
            </w:r>
          </w:p>
          <w:p w:rsidR="00C577B4" w:rsidRDefault="00C577B4" w:rsidP="00C577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Коректне формування, облік та активне виявлення туберкульозу серед  контингентів віднесених до груп ризику щодо захворювання на туберкульоз.</w:t>
            </w:r>
          </w:p>
          <w:p w:rsidR="00C577B4" w:rsidRDefault="00C577B4" w:rsidP="00C577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544AE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.2. Дотримання в повному обсязі лікувально-діагностичних заходів на вторинному рівні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31A59" w:rsidRDefault="00C577B4" w:rsidP="00C577B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544AE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.3. 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дотриманням алгоритму виявлення хворих на ТБ відповідно до галузевого стандарту (наказ МОЗ України від 25.02.2020 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530</w:t>
            </w:r>
            <w:r w:rsidR="006F4BE7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редакції наказу МОЗ України від 06.10.2021 №2161</w:t>
            </w:r>
            <w:r w:rsidR="00D31A59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BA3B34" w:rsidRDefault="00C577B4" w:rsidP="00BA3B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2544AE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.4. Активізацію роботи щодо збору та доставки </w:t>
            </w:r>
            <w:proofErr w:type="spellStart"/>
            <w:r w:rsidR="002544AE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біоматеріалу</w:t>
            </w:r>
            <w:proofErr w:type="spellEnd"/>
            <w:r w:rsidR="002544AE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для дослідження на виявлення кислотостійких паличок</w:t>
            </w:r>
            <w:r w:rsidR="00160FB2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 досягненням показника виявлення </w:t>
            </w:r>
            <w:proofErr w:type="spellStart"/>
            <w:r w:rsidR="00160FB2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бактеріовиділювачів</w:t>
            </w:r>
            <w:proofErr w:type="spellEnd"/>
            <w:r w:rsidR="00160FB2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менше 5% та не більше 10% до обстежених.</w:t>
            </w:r>
          </w:p>
          <w:p w:rsidR="00BA3B34" w:rsidRDefault="00BA3B34" w:rsidP="00BA3B34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160FB2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.5.</w:t>
            </w:r>
            <w:r w:rsidR="00160FB2" w:rsidRPr="00A30DD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Організацію контрольованого амбулаторного лікування хворих на туберкульоз та моніторинг лікування відповідно до наказу МОЗ України від 25.02.2020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530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6F4BE7" w:rsidRPr="00A30DD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F4BE7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 редакції наказу МОЗ України від 06.10.2021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6F4BE7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2161</w:t>
            </w:r>
            <w:r w:rsidR="00160FB2" w:rsidRPr="006A4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, </w:t>
            </w:r>
            <w:r w:rsidR="002D64BF" w:rsidRPr="006A4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«Про затвердження стандартів охорони здоров’я при туберкульозі», наказів Управління охорони здоров’я обласної державної адміністрації від 20.05.2020 № 625 «Про впровадження наказу МОЗ України від 25.02.2020 № 530 «Про затвердження стандартів охорони здоров’я при туберкульозі», </w:t>
            </w:r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від 25.02.2019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220 «Про впровадження пацієнт-орієнтованих амбулаторних моделей лікування хворих на туберкульоз, зокрема </w:t>
            </w:r>
            <w:proofErr w:type="spellStart"/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хіміорезистентний</w:t>
            </w:r>
            <w:proofErr w:type="spellEnd"/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туберкульоз </w:t>
            </w:r>
            <w:r w:rsidR="002D64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</w:r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та </w:t>
            </w:r>
            <w:proofErr w:type="spellStart"/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ко-інфекцію</w:t>
            </w:r>
            <w:proofErr w:type="spellEnd"/>
            <w:r w:rsidR="00160FB2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ТБ/ВІЛ в Черкаській області».</w:t>
            </w:r>
          </w:p>
          <w:p w:rsidR="002D64BF" w:rsidRDefault="00BA3B34" w:rsidP="002D64BF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2.6</w:t>
            </w:r>
            <w:r w:rsidR="008D59CE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. Повний обсяг моніторингу клінічних показників пацієнтів, хворих на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туберкульоз</w:t>
            </w:r>
            <w:r w:rsidR="008D59CE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 що знаходяться на амбулаторному лікуванні відповідно до наказу МОЗ України від 25.02.2020 №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8D59CE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530</w:t>
            </w:r>
            <w:r w:rsidR="009365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,</w:t>
            </w:r>
            <w:r w:rsidR="008D59CE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F4BE7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редакції наказу МОЗ України від </w:t>
            </w:r>
            <w:r w:rsidR="006F4BE7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06.10.2021 №</w:t>
            </w:r>
            <w:r w:rsidR="009365BE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6F4BE7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2161 </w:t>
            </w:r>
            <w:r w:rsidR="002D64BF" w:rsidRPr="006A412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«Про затвердження стандартів охорони здоров’я при туберкульозі» та відповідного наказу Управління охорони здоров’я обласної державної адміністрації від 20.05.2020 № 625 </w:t>
            </w:r>
            <w:r w:rsidR="002D64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«</w:t>
            </w:r>
            <w:r w:rsidR="002D64BF" w:rsidRPr="006A36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 впровадження наказу МОЗ України</w:t>
            </w:r>
            <w:r w:rsidR="002D64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2D64BF" w:rsidRPr="006A363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від 25.02.2020 №530 «Про затвердження стандартів охорони здоров’я </w:t>
            </w:r>
            <w:r w:rsidR="002D64B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 туберкульозі»</w:t>
            </w:r>
            <w:r w:rsidR="002D64BF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</w:p>
          <w:p w:rsidR="001546A4" w:rsidRPr="00A30DDF" w:rsidRDefault="009365BE" w:rsidP="009365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  <w:r w:rsidR="001546A4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</w:t>
            </w:r>
            <w:r w:rsidR="008D59CE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  <w:r w:rsidR="001546A4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 Виконання наказу МОЗ України від 15.05.2014 №</w:t>
            </w:r>
            <w:r w:rsidR="00843B7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  <w:r w:rsidR="001546A4" w:rsidRPr="00A30DD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327 «Про виявлення осіб, хворих на туберкульоз та інфікованих мікобактеріями туберкульозу».</w:t>
            </w:r>
          </w:p>
          <w:p w:rsidR="001546A4" w:rsidRDefault="001546A4" w:rsidP="0093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365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Терміново і постійно</w:t>
            </w:r>
          </w:p>
          <w:p w:rsidR="009365BE" w:rsidRPr="009365BE" w:rsidRDefault="009365BE" w:rsidP="009365B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6F4BE7" w:rsidRPr="009365BE" w:rsidRDefault="009365BE" w:rsidP="009365BE">
            <w:pPr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36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936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1546A4" w:rsidRPr="00936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Головному позаштатному фтизіат</w:t>
            </w:r>
            <w:r w:rsidR="006F4BE7" w:rsidRPr="00936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ру </w:t>
            </w:r>
            <w:r w:rsidRPr="009365B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Управління охорони здоров’я обласної державної адміністрації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87161" w:rsidRPr="00E8716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дійснювати о</w:t>
            </w:r>
            <w:r w:rsidR="006F4BE7" w:rsidRPr="009365B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рганізаційно-методичний супровід та роз’яснювальну роботу щодо формування та обстеження груп ризику з туберкульозу.</w:t>
            </w:r>
          </w:p>
          <w:p w:rsidR="00A74F33" w:rsidRPr="009365BE" w:rsidRDefault="006F4BE7" w:rsidP="009365BE">
            <w:pPr>
              <w:pStyle w:val="a5"/>
              <w:spacing w:after="0" w:line="240" w:lineRule="auto"/>
              <w:ind w:left="792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365B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Постійно</w:t>
            </w:r>
          </w:p>
        </w:tc>
        <w:tc>
          <w:tcPr>
            <w:tcW w:w="4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74F33" w:rsidRPr="00A30DDF" w:rsidRDefault="00A74F33" w:rsidP="00A74F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3D6" w:rsidRPr="005C44DC" w:rsidRDefault="003953D6" w:rsidP="003A7DE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3953D6" w:rsidRPr="005C44DC">
      <w:footerReference w:type="default" r:id="rId1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5B1" w:rsidRDefault="007675B1" w:rsidP="007675B1">
      <w:pPr>
        <w:spacing w:after="0" w:line="240" w:lineRule="auto"/>
      </w:pPr>
      <w:r>
        <w:separator/>
      </w:r>
    </w:p>
  </w:endnote>
  <w:endnote w:type="continuationSeparator" w:id="0">
    <w:p w:rsidR="007675B1" w:rsidRDefault="007675B1" w:rsidP="007675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1800613"/>
      <w:docPartObj>
        <w:docPartGallery w:val="Page Numbers (Bottom of Page)"/>
        <w:docPartUnique/>
      </w:docPartObj>
    </w:sdtPr>
    <w:sdtEndPr/>
    <w:sdtContent>
      <w:p w:rsidR="007675B1" w:rsidRDefault="007675B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7161" w:rsidRPr="00E87161">
          <w:rPr>
            <w:noProof/>
            <w:lang w:val="ru-RU"/>
          </w:rPr>
          <w:t>11</w:t>
        </w:r>
        <w:r>
          <w:fldChar w:fldCharType="end"/>
        </w:r>
      </w:p>
    </w:sdtContent>
  </w:sdt>
  <w:p w:rsidR="007675B1" w:rsidRDefault="007675B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5B1" w:rsidRDefault="007675B1" w:rsidP="007675B1">
      <w:pPr>
        <w:spacing w:after="0" w:line="240" w:lineRule="auto"/>
      </w:pPr>
      <w:r>
        <w:separator/>
      </w:r>
    </w:p>
  </w:footnote>
  <w:footnote w:type="continuationSeparator" w:id="0">
    <w:p w:rsidR="007675B1" w:rsidRDefault="007675B1" w:rsidP="007675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F76D2"/>
    <w:multiLevelType w:val="hybridMultilevel"/>
    <w:tmpl w:val="6F2A1AF8"/>
    <w:lvl w:ilvl="0" w:tplc="22324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2B1F46"/>
    <w:multiLevelType w:val="multilevel"/>
    <w:tmpl w:val="D802842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shd w:val="clear" w:color="auto" w:fil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C0553"/>
    <w:multiLevelType w:val="hybridMultilevel"/>
    <w:tmpl w:val="B0C89C70"/>
    <w:lvl w:ilvl="0" w:tplc="A26ED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E92EAD"/>
    <w:multiLevelType w:val="multilevel"/>
    <w:tmpl w:val="27EAABD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9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4">
    <w:nsid w:val="42881527"/>
    <w:multiLevelType w:val="hybridMultilevel"/>
    <w:tmpl w:val="C18C8D5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97C57F3"/>
    <w:multiLevelType w:val="multilevel"/>
    <w:tmpl w:val="B4A47C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4B6B1632"/>
    <w:multiLevelType w:val="multilevel"/>
    <w:tmpl w:val="54D02F4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3B06D9"/>
    <w:multiLevelType w:val="hybridMultilevel"/>
    <w:tmpl w:val="CEAC2E64"/>
    <w:lvl w:ilvl="0" w:tplc="2272F7AA"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>
    <w:nsid w:val="5C114E38"/>
    <w:multiLevelType w:val="hybridMultilevel"/>
    <w:tmpl w:val="76AC205A"/>
    <w:lvl w:ilvl="0" w:tplc="562C4564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9CE"/>
    <w:rsid w:val="00012F28"/>
    <w:rsid w:val="00053BC4"/>
    <w:rsid w:val="00071BE6"/>
    <w:rsid w:val="00077719"/>
    <w:rsid w:val="000A5E65"/>
    <w:rsid w:val="000A699A"/>
    <w:rsid w:val="000B1283"/>
    <w:rsid w:val="000B726F"/>
    <w:rsid w:val="000C10F2"/>
    <w:rsid w:val="000D1BF0"/>
    <w:rsid w:val="000E59C5"/>
    <w:rsid w:val="000E5F7A"/>
    <w:rsid w:val="000F0C93"/>
    <w:rsid w:val="000F51B1"/>
    <w:rsid w:val="000F6FCC"/>
    <w:rsid w:val="0010078E"/>
    <w:rsid w:val="00110FCD"/>
    <w:rsid w:val="0011435D"/>
    <w:rsid w:val="00144CA7"/>
    <w:rsid w:val="001546A4"/>
    <w:rsid w:val="00160FB2"/>
    <w:rsid w:val="00192859"/>
    <w:rsid w:val="001A069A"/>
    <w:rsid w:val="001C565A"/>
    <w:rsid w:val="001C6BE9"/>
    <w:rsid w:val="001D3A46"/>
    <w:rsid w:val="002544AE"/>
    <w:rsid w:val="00282796"/>
    <w:rsid w:val="002C1857"/>
    <w:rsid w:val="002D64BF"/>
    <w:rsid w:val="003013E1"/>
    <w:rsid w:val="00314CB3"/>
    <w:rsid w:val="00316FC3"/>
    <w:rsid w:val="003263A4"/>
    <w:rsid w:val="00326569"/>
    <w:rsid w:val="00331BDB"/>
    <w:rsid w:val="003449D1"/>
    <w:rsid w:val="00355A9B"/>
    <w:rsid w:val="00361572"/>
    <w:rsid w:val="00364B85"/>
    <w:rsid w:val="003953D6"/>
    <w:rsid w:val="003A2512"/>
    <w:rsid w:val="003A7DE1"/>
    <w:rsid w:val="003C7FD4"/>
    <w:rsid w:val="003E5350"/>
    <w:rsid w:val="00426DD9"/>
    <w:rsid w:val="0044694B"/>
    <w:rsid w:val="00485319"/>
    <w:rsid w:val="004A198D"/>
    <w:rsid w:val="004E00AE"/>
    <w:rsid w:val="005043F9"/>
    <w:rsid w:val="00511F9A"/>
    <w:rsid w:val="005306E5"/>
    <w:rsid w:val="005346B7"/>
    <w:rsid w:val="005377A3"/>
    <w:rsid w:val="00567589"/>
    <w:rsid w:val="00570554"/>
    <w:rsid w:val="005A48FA"/>
    <w:rsid w:val="005C44DC"/>
    <w:rsid w:val="00602B95"/>
    <w:rsid w:val="006059D2"/>
    <w:rsid w:val="00622705"/>
    <w:rsid w:val="00656107"/>
    <w:rsid w:val="006654CB"/>
    <w:rsid w:val="00677927"/>
    <w:rsid w:val="00683471"/>
    <w:rsid w:val="006A4120"/>
    <w:rsid w:val="006B1F27"/>
    <w:rsid w:val="006B40B6"/>
    <w:rsid w:val="006B6F63"/>
    <w:rsid w:val="006F4BE7"/>
    <w:rsid w:val="007030EF"/>
    <w:rsid w:val="007237E1"/>
    <w:rsid w:val="00754951"/>
    <w:rsid w:val="007675B1"/>
    <w:rsid w:val="00773491"/>
    <w:rsid w:val="0078732C"/>
    <w:rsid w:val="007B7DC3"/>
    <w:rsid w:val="007F6A85"/>
    <w:rsid w:val="007F6DA4"/>
    <w:rsid w:val="008116F0"/>
    <w:rsid w:val="00812655"/>
    <w:rsid w:val="00821F44"/>
    <w:rsid w:val="00843B73"/>
    <w:rsid w:val="0085689C"/>
    <w:rsid w:val="00861034"/>
    <w:rsid w:val="00863334"/>
    <w:rsid w:val="00872D75"/>
    <w:rsid w:val="00884E48"/>
    <w:rsid w:val="008A3DA8"/>
    <w:rsid w:val="008A6467"/>
    <w:rsid w:val="008C2CCD"/>
    <w:rsid w:val="008D59CE"/>
    <w:rsid w:val="008F6A60"/>
    <w:rsid w:val="0091364D"/>
    <w:rsid w:val="009365BE"/>
    <w:rsid w:val="009A3830"/>
    <w:rsid w:val="009A5C6E"/>
    <w:rsid w:val="009C0DC5"/>
    <w:rsid w:val="009C431B"/>
    <w:rsid w:val="00A051C3"/>
    <w:rsid w:val="00A30DDF"/>
    <w:rsid w:val="00A34B8C"/>
    <w:rsid w:val="00A41F1D"/>
    <w:rsid w:val="00A44C39"/>
    <w:rsid w:val="00A505C7"/>
    <w:rsid w:val="00A74F33"/>
    <w:rsid w:val="00A87355"/>
    <w:rsid w:val="00A8762E"/>
    <w:rsid w:val="00AA3CBB"/>
    <w:rsid w:val="00AC5380"/>
    <w:rsid w:val="00B13658"/>
    <w:rsid w:val="00B43CD8"/>
    <w:rsid w:val="00B63F14"/>
    <w:rsid w:val="00B80312"/>
    <w:rsid w:val="00B81A1E"/>
    <w:rsid w:val="00B960E2"/>
    <w:rsid w:val="00B9733C"/>
    <w:rsid w:val="00BA3B34"/>
    <w:rsid w:val="00BB4FF4"/>
    <w:rsid w:val="00BD7C00"/>
    <w:rsid w:val="00BF01F2"/>
    <w:rsid w:val="00BF2C93"/>
    <w:rsid w:val="00C25125"/>
    <w:rsid w:val="00C27270"/>
    <w:rsid w:val="00C2743A"/>
    <w:rsid w:val="00C577B4"/>
    <w:rsid w:val="00C62199"/>
    <w:rsid w:val="00CA2F8C"/>
    <w:rsid w:val="00CF3D14"/>
    <w:rsid w:val="00D31A59"/>
    <w:rsid w:val="00D31AFB"/>
    <w:rsid w:val="00D6362C"/>
    <w:rsid w:val="00D8472D"/>
    <w:rsid w:val="00DC6346"/>
    <w:rsid w:val="00DE7445"/>
    <w:rsid w:val="00E06E87"/>
    <w:rsid w:val="00E10FA0"/>
    <w:rsid w:val="00E4611F"/>
    <w:rsid w:val="00E87161"/>
    <w:rsid w:val="00E91009"/>
    <w:rsid w:val="00EC4C12"/>
    <w:rsid w:val="00ED0903"/>
    <w:rsid w:val="00EF1D17"/>
    <w:rsid w:val="00EF39C0"/>
    <w:rsid w:val="00F26B38"/>
    <w:rsid w:val="00F35162"/>
    <w:rsid w:val="00F50B73"/>
    <w:rsid w:val="00FA405A"/>
    <w:rsid w:val="00FB09CE"/>
    <w:rsid w:val="00FB45EE"/>
    <w:rsid w:val="00FE2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F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2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2B95"/>
  </w:style>
  <w:style w:type="character" w:styleId="a8">
    <w:name w:val="annotation reference"/>
    <w:basedOn w:val="a0"/>
    <w:uiPriority w:val="99"/>
    <w:semiHidden/>
    <w:unhideWhenUsed/>
    <w:rsid w:val="007237E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237E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237E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237E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237E1"/>
    <w:rPr>
      <w:b/>
      <w:b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767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75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7D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7DE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74F33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02B9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02B95"/>
  </w:style>
  <w:style w:type="character" w:styleId="a8">
    <w:name w:val="annotation reference"/>
    <w:basedOn w:val="a0"/>
    <w:uiPriority w:val="99"/>
    <w:semiHidden/>
    <w:unhideWhenUsed/>
    <w:rsid w:val="007237E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237E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237E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237E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237E1"/>
    <w:rPr>
      <w:b/>
      <w:b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7675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675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4.xm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chart" Target="charts/chart6.xml"/><Relationship Id="rId10" Type="http://schemas.openxmlformats.org/officeDocument/2006/relationships/chart" Target="charts/chart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2.xlsx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_____Microsoft_Excel3.xlsx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2.xml"/><Relationship Id="rId1" Type="http://schemas.openxmlformats.org/officeDocument/2006/relationships/package" Target="../embeddings/_____Microsoft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6.xlsx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3.xml"/><Relationship Id="rId1" Type="http://schemas.openxmlformats.org/officeDocument/2006/relationships/package" Target="../embeddings/_____Microsoft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пів.2019</c:v>
                </c:pt>
              </c:strCache>
            </c:strRef>
          </c:tx>
          <c:invertIfNegative val="0"/>
          <c:cat>
            <c:strRef>
              <c:f>Лист1!$A$2:$A$28</c:f>
              <c:strCache>
                <c:ptCount val="24"/>
                <c:pt idx="0">
                  <c:v>Черкаси</c:v>
                </c:pt>
                <c:pt idx="1">
                  <c:v>Сміла</c:v>
                </c:pt>
                <c:pt idx="2">
                  <c:v>Умань</c:v>
                </c:pt>
                <c:pt idx="3">
                  <c:v>Ватутіне</c:v>
                </c:pt>
                <c:pt idx="4">
                  <c:v>Городищенський</c:v>
                </c:pt>
                <c:pt idx="5">
                  <c:v>Драбівський</c:v>
                </c:pt>
                <c:pt idx="6">
                  <c:v>Жашківський</c:v>
                </c:pt>
                <c:pt idx="7">
                  <c:v>Звенигородський</c:v>
                </c:pt>
                <c:pt idx="8">
                  <c:v>Золотоніський</c:v>
                </c:pt>
                <c:pt idx="9">
                  <c:v>К.-Шевченківський</c:v>
                </c:pt>
                <c:pt idx="10">
                  <c:v>Канівський</c:v>
                </c:pt>
                <c:pt idx="11">
                  <c:v>Кам'янський</c:v>
                </c:pt>
                <c:pt idx="12">
                  <c:v>Катеринопільський</c:v>
                </c:pt>
                <c:pt idx="13">
                  <c:v>Лисянський</c:v>
                </c:pt>
                <c:pt idx="14">
                  <c:v>Маньківський</c:v>
                </c:pt>
                <c:pt idx="15">
                  <c:v>Монастирищенський</c:v>
                </c:pt>
                <c:pt idx="16">
                  <c:v>Смілянський</c:v>
                </c:pt>
                <c:pt idx="17">
                  <c:v>Тальнівський</c:v>
                </c:pt>
                <c:pt idx="18">
                  <c:v>Уманський</c:v>
                </c:pt>
                <c:pt idx="19">
                  <c:v>Христинівський</c:v>
                </c:pt>
                <c:pt idx="20">
                  <c:v>Черкаський</c:v>
                </c:pt>
                <c:pt idx="21">
                  <c:v>Чорнобаївський</c:v>
                </c:pt>
                <c:pt idx="22">
                  <c:v>Чигиринський</c:v>
                </c:pt>
                <c:pt idx="23">
                  <c:v>Шполянський</c:v>
                </c:pt>
              </c:strCache>
            </c:strRef>
          </c:cat>
          <c:val>
            <c:numRef>
              <c:f>Лист1!$B$2:$B$28</c:f>
              <c:numCache>
                <c:formatCode>0.0</c:formatCode>
                <c:ptCount val="27"/>
                <c:pt idx="0">
                  <c:v>26.414534507151824</c:v>
                </c:pt>
                <c:pt idx="1">
                  <c:v>34.221098050885288</c:v>
                </c:pt>
                <c:pt idx="2">
                  <c:v>14.432270556965374</c:v>
                </c:pt>
                <c:pt idx="3">
                  <c:v>17.619075585834263</c:v>
                </c:pt>
                <c:pt idx="4">
                  <c:v>35.298270384751149</c:v>
                </c:pt>
                <c:pt idx="5">
                  <c:v>28.955293027565439</c:v>
                </c:pt>
                <c:pt idx="6">
                  <c:v>30.237224772533605</c:v>
                </c:pt>
                <c:pt idx="7">
                  <c:v>36.649334585518929</c:v>
                </c:pt>
                <c:pt idx="8">
                  <c:v>31.723143475126172</c:v>
                </c:pt>
                <c:pt idx="9">
                  <c:v>30.922930542340627</c:v>
                </c:pt>
                <c:pt idx="10">
                  <c:v>27.598896044158234</c:v>
                </c:pt>
                <c:pt idx="11">
                  <c:v>37.216226274655753</c:v>
                </c:pt>
                <c:pt idx="12">
                  <c:v>41.863775275254319</c:v>
                </c:pt>
                <c:pt idx="13">
                  <c:v>30.268961342212229</c:v>
                </c:pt>
                <c:pt idx="14">
                  <c:v>47.887427708402399</c:v>
                </c:pt>
                <c:pt idx="15">
                  <c:v>30.789039102079659</c:v>
                </c:pt>
                <c:pt idx="16">
                  <c:v>43.444530643910007</c:v>
                </c:pt>
                <c:pt idx="17">
                  <c:v>29.973323741869734</c:v>
                </c:pt>
                <c:pt idx="18">
                  <c:v>41.794371691278904</c:v>
                </c:pt>
                <c:pt idx="19">
                  <c:v>20.152003684937817</c:v>
                </c:pt>
                <c:pt idx="20">
                  <c:v>33.617965440731524</c:v>
                </c:pt>
                <c:pt idx="21">
                  <c:v>17.233314458750829</c:v>
                </c:pt>
                <c:pt idx="22">
                  <c:v>34.066391612097355</c:v>
                </c:pt>
                <c:pt idx="23">
                  <c:v>30.710354114006282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 пів.2020</c:v>
                </c:pt>
              </c:strCache>
            </c:strRef>
          </c:tx>
          <c:invertIfNegative val="0"/>
          <c:cat>
            <c:strRef>
              <c:f>Лист1!$A$2:$A$28</c:f>
              <c:strCache>
                <c:ptCount val="24"/>
                <c:pt idx="0">
                  <c:v>Черкаси</c:v>
                </c:pt>
                <c:pt idx="1">
                  <c:v>Сміла</c:v>
                </c:pt>
                <c:pt idx="2">
                  <c:v>Умань</c:v>
                </c:pt>
                <c:pt idx="3">
                  <c:v>Ватутіне</c:v>
                </c:pt>
                <c:pt idx="4">
                  <c:v>Городищенський</c:v>
                </c:pt>
                <c:pt idx="5">
                  <c:v>Драбівський</c:v>
                </c:pt>
                <c:pt idx="6">
                  <c:v>Жашківський</c:v>
                </c:pt>
                <c:pt idx="7">
                  <c:v>Звенигородський</c:v>
                </c:pt>
                <c:pt idx="8">
                  <c:v>Золотоніський</c:v>
                </c:pt>
                <c:pt idx="9">
                  <c:v>К.-Шевченківський</c:v>
                </c:pt>
                <c:pt idx="10">
                  <c:v>Канівський</c:v>
                </c:pt>
                <c:pt idx="11">
                  <c:v>Кам'янський</c:v>
                </c:pt>
                <c:pt idx="12">
                  <c:v>Катеринопільський</c:v>
                </c:pt>
                <c:pt idx="13">
                  <c:v>Лисянський</c:v>
                </c:pt>
                <c:pt idx="14">
                  <c:v>Маньківський</c:v>
                </c:pt>
                <c:pt idx="15">
                  <c:v>Монастирищенський</c:v>
                </c:pt>
                <c:pt idx="16">
                  <c:v>Смілянський</c:v>
                </c:pt>
                <c:pt idx="17">
                  <c:v>Тальнівський</c:v>
                </c:pt>
                <c:pt idx="18">
                  <c:v>Уманський</c:v>
                </c:pt>
                <c:pt idx="19">
                  <c:v>Христинівський</c:v>
                </c:pt>
                <c:pt idx="20">
                  <c:v>Черкаський</c:v>
                </c:pt>
                <c:pt idx="21">
                  <c:v>Чорнобаївський</c:v>
                </c:pt>
                <c:pt idx="22">
                  <c:v>Чигиринський</c:v>
                </c:pt>
                <c:pt idx="23">
                  <c:v>Шполянський</c:v>
                </c:pt>
              </c:strCache>
            </c:strRef>
          </c:cat>
          <c:val>
            <c:numRef>
              <c:f>Лист1!$C$2:$C$28</c:f>
              <c:numCache>
                <c:formatCode>0.0</c:formatCode>
                <c:ptCount val="27"/>
                <c:pt idx="0">
                  <c:v>19.651298623317359</c:v>
                </c:pt>
                <c:pt idx="1">
                  <c:v>24.023302603525419</c:v>
                </c:pt>
                <c:pt idx="2">
                  <c:v>10.931351114997813</c:v>
                </c:pt>
                <c:pt idx="3">
                  <c:v>11.845534233593934</c:v>
                </c:pt>
                <c:pt idx="4">
                  <c:v>43.529472013110052</c:v>
                </c:pt>
                <c:pt idx="5">
                  <c:v>38.379782711384031</c:v>
                </c:pt>
                <c:pt idx="6">
                  <c:v>22.411474675033617</c:v>
                </c:pt>
                <c:pt idx="7">
                  <c:v>16.308272953894182</c:v>
                </c:pt>
                <c:pt idx="8">
                  <c:v>21.869395967283385</c:v>
                </c:pt>
                <c:pt idx="9">
                  <c:v>26.558501134772321</c:v>
                </c:pt>
                <c:pt idx="10">
                  <c:v>30.307975660364161</c:v>
                </c:pt>
                <c:pt idx="11">
                  <c:v>26.56042496679947</c:v>
                </c:pt>
                <c:pt idx="12">
                  <c:v>42.517006802721092</c:v>
                </c:pt>
                <c:pt idx="13">
                  <c:v>21.95389681668496</c:v>
                </c:pt>
                <c:pt idx="14">
                  <c:v>22.420686820372932</c:v>
                </c:pt>
                <c:pt idx="15">
                  <c:v>17.016931847187951</c:v>
                </c:pt>
                <c:pt idx="16">
                  <c:v>34.489245626136579</c:v>
                </c:pt>
                <c:pt idx="17">
                  <c:v>24.48504881706608</c:v>
                </c:pt>
                <c:pt idx="18">
                  <c:v>16.446595554720172</c:v>
                </c:pt>
                <c:pt idx="19">
                  <c:v>32.111163007940213</c:v>
                </c:pt>
                <c:pt idx="20">
                  <c:v>35.194585448392552</c:v>
                </c:pt>
                <c:pt idx="21">
                  <c:v>17.500437510937772</c:v>
                </c:pt>
                <c:pt idx="22">
                  <c:v>30.815453950156002</c:v>
                </c:pt>
                <c:pt idx="23">
                  <c:v>26.329647182727751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Ряд 3</c:v>
                </c:pt>
              </c:strCache>
            </c:strRef>
          </c:tx>
          <c:invertIfNegative val="0"/>
          <c:cat>
            <c:strRef>
              <c:f>Лист1!$A$2:$A$28</c:f>
              <c:strCache>
                <c:ptCount val="24"/>
                <c:pt idx="0">
                  <c:v>Черкаси</c:v>
                </c:pt>
                <c:pt idx="1">
                  <c:v>Сміла</c:v>
                </c:pt>
                <c:pt idx="2">
                  <c:v>Умань</c:v>
                </c:pt>
                <c:pt idx="3">
                  <c:v>Ватутіне</c:v>
                </c:pt>
                <c:pt idx="4">
                  <c:v>Городищенський</c:v>
                </c:pt>
                <c:pt idx="5">
                  <c:v>Драбівський</c:v>
                </c:pt>
                <c:pt idx="6">
                  <c:v>Жашківський</c:v>
                </c:pt>
                <c:pt idx="7">
                  <c:v>Звенигородський</c:v>
                </c:pt>
                <c:pt idx="8">
                  <c:v>Золотоніський</c:v>
                </c:pt>
                <c:pt idx="9">
                  <c:v>К.-Шевченківський</c:v>
                </c:pt>
                <c:pt idx="10">
                  <c:v>Канівський</c:v>
                </c:pt>
                <c:pt idx="11">
                  <c:v>Кам'янський</c:v>
                </c:pt>
                <c:pt idx="12">
                  <c:v>Катеринопільський</c:v>
                </c:pt>
                <c:pt idx="13">
                  <c:v>Лисянський</c:v>
                </c:pt>
                <c:pt idx="14">
                  <c:v>Маньківський</c:v>
                </c:pt>
                <c:pt idx="15">
                  <c:v>Монастирищенський</c:v>
                </c:pt>
                <c:pt idx="16">
                  <c:v>Смілянський</c:v>
                </c:pt>
                <c:pt idx="17">
                  <c:v>Тальнівський</c:v>
                </c:pt>
                <c:pt idx="18">
                  <c:v>Уманський</c:v>
                </c:pt>
                <c:pt idx="19">
                  <c:v>Христинівський</c:v>
                </c:pt>
                <c:pt idx="20">
                  <c:v>Черкаський</c:v>
                </c:pt>
                <c:pt idx="21">
                  <c:v>Чорнобаївський</c:v>
                </c:pt>
                <c:pt idx="22">
                  <c:v>Чигиринський</c:v>
                </c:pt>
                <c:pt idx="23">
                  <c:v>Шполянський</c:v>
                </c:pt>
              </c:strCache>
            </c:strRef>
          </c:cat>
          <c:val>
            <c:numRef>
              <c:f>Лист1!$D$2:$D$28</c:f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І пів. 2021</c:v>
                </c:pt>
              </c:strCache>
            </c:strRef>
          </c:tx>
          <c:invertIfNegative val="0"/>
          <c:cat>
            <c:strRef>
              <c:f>Лист1!$A$2:$A$28</c:f>
              <c:strCache>
                <c:ptCount val="24"/>
                <c:pt idx="0">
                  <c:v>Черкаси</c:v>
                </c:pt>
                <c:pt idx="1">
                  <c:v>Сміла</c:v>
                </c:pt>
                <c:pt idx="2">
                  <c:v>Умань</c:v>
                </c:pt>
                <c:pt idx="3">
                  <c:v>Ватутіне</c:v>
                </c:pt>
                <c:pt idx="4">
                  <c:v>Городищенський</c:v>
                </c:pt>
                <c:pt idx="5">
                  <c:v>Драбівський</c:v>
                </c:pt>
                <c:pt idx="6">
                  <c:v>Жашківський</c:v>
                </c:pt>
                <c:pt idx="7">
                  <c:v>Звенигородський</c:v>
                </c:pt>
                <c:pt idx="8">
                  <c:v>Золотоніський</c:v>
                </c:pt>
                <c:pt idx="9">
                  <c:v>К.-Шевченківський</c:v>
                </c:pt>
                <c:pt idx="10">
                  <c:v>Канівський</c:v>
                </c:pt>
                <c:pt idx="11">
                  <c:v>Кам'янський</c:v>
                </c:pt>
                <c:pt idx="12">
                  <c:v>Катеринопільський</c:v>
                </c:pt>
                <c:pt idx="13">
                  <c:v>Лисянський</c:v>
                </c:pt>
                <c:pt idx="14">
                  <c:v>Маньківський</c:v>
                </c:pt>
                <c:pt idx="15">
                  <c:v>Монастирищенський</c:v>
                </c:pt>
                <c:pt idx="16">
                  <c:v>Смілянський</c:v>
                </c:pt>
                <c:pt idx="17">
                  <c:v>Тальнівський</c:v>
                </c:pt>
                <c:pt idx="18">
                  <c:v>Уманський</c:v>
                </c:pt>
                <c:pt idx="19">
                  <c:v>Христинівський</c:v>
                </c:pt>
                <c:pt idx="20">
                  <c:v>Черкаський</c:v>
                </c:pt>
                <c:pt idx="21">
                  <c:v>Чорнобаївський</c:v>
                </c:pt>
                <c:pt idx="22">
                  <c:v>Чигиринський</c:v>
                </c:pt>
                <c:pt idx="23">
                  <c:v>Шполянський</c:v>
                </c:pt>
              </c:strCache>
            </c:strRef>
          </c:cat>
          <c:val>
            <c:numRef>
              <c:f>Лист1!$E$2:$E$28</c:f>
              <c:numCache>
                <c:formatCode>0.0</c:formatCode>
                <c:ptCount val="27"/>
                <c:pt idx="0">
                  <c:v>16.105535179613319</c:v>
                </c:pt>
                <c:pt idx="1">
                  <c:v>24.226273393495244</c:v>
                </c:pt>
                <c:pt idx="2">
                  <c:v>15.897667934403776</c:v>
                </c:pt>
                <c:pt idx="3">
                  <c:v>17.960845357121475</c:v>
                </c:pt>
                <c:pt idx="4">
                  <c:v>33.850640558275181</c:v>
                </c:pt>
                <c:pt idx="5">
                  <c:v>30.178657653307582</c:v>
                </c:pt>
                <c:pt idx="6">
                  <c:v>8.5616438356164384</c:v>
                </c:pt>
                <c:pt idx="7">
                  <c:v>26.055237102657635</c:v>
                </c:pt>
                <c:pt idx="8">
                  <c:v>13.264163178683017</c:v>
                </c:pt>
                <c:pt idx="9">
                  <c:v>4.9094211792429672</c:v>
                </c:pt>
                <c:pt idx="10">
                  <c:v>40.035796712354575</c:v>
                </c:pt>
                <c:pt idx="11">
                  <c:v>3.856983067844332</c:v>
                </c:pt>
                <c:pt idx="12">
                  <c:v>17.240636179475022</c:v>
                </c:pt>
                <c:pt idx="13">
                  <c:v>13.475272874275705</c:v>
                </c:pt>
                <c:pt idx="14">
                  <c:v>11.396877255631956</c:v>
                </c:pt>
                <c:pt idx="15">
                  <c:v>17.260723224303099</c:v>
                </c:pt>
                <c:pt idx="16">
                  <c:v>25.433967063012652</c:v>
                </c:pt>
                <c:pt idx="17">
                  <c:v>24.978144123891596</c:v>
                </c:pt>
                <c:pt idx="18">
                  <c:v>11.903628225883249</c:v>
                </c:pt>
                <c:pt idx="19">
                  <c:v>26.663506547372162</c:v>
                </c:pt>
                <c:pt idx="20">
                  <c:v>24.585125998770742</c:v>
                </c:pt>
                <c:pt idx="21">
                  <c:v>5.0736954260635736</c:v>
                </c:pt>
                <c:pt idx="22">
                  <c:v>23.600676552727844</c:v>
                </c:pt>
                <c:pt idx="23">
                  <c:v>24.290711232024872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27264"/>
        <c:axId val="173746432"/>
      </c:barChart>
      <c:catAx>
        <c:axId val="148427264"/>
        <c:scaling>
          <c:orientation val="minMax"/>
        </c:scaling>
        <c:delete val="0"/>
        <c:axPos val="b"/>
        <c:majorTickMark val="out"/>
        <c:minorTickMark val="none"/>
        <c:tickLblPos val="nextTo"/>
        <c:crossAx val="173746432"/>
        <c:crosses val="autoZero"/>
        <c:auto val="1"/>
        <c:lblAlgn val="ctr"/>
        <c:lblOffset val="100"/>
        <c:noMultiLvlLbl val="0"/>
      </c:catAx>
      <c:valAx>
        <c:axId val="173746432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4842726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2015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Лист1!$A$2:$A$10</c:f>
              <c:strCache>
                <c:ptCount val="9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І пів. 2019</c:v>
                </c:pt>
                <c:pt idx="5">
                  <c:v>2019</c:v>
                </c:pt>
                <c:pt idx="6">
                  <c:v>І пів. 2020</c:v>
                </c:pt>
                <c:pt idx="7">
                  <c:v>2020</c:v>
                </c:pt>
                <c:pt idx="8">
                  <c:v>І пів. 2021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10.3</c:v>
                </c:pt>
                <c:pt idx="1">
                  <c:v>9.3000000000000007</c:v>
                </c:pt>
                <c:pt idx="2">
                  <c:v>9.8000000000000007</c:v>
                </c:pt>
                <c:pt idx="3">
                  <c:v>8.4</c:v>
                </c:pt>
                <c:pt idx="4">
                  <c:v>3.05</c:v>
                </c:pt>
                <c:pt idx="5">
                  <c:v>7.3</c:v>
                </c:pt>
                <c:pt idx="6">
                  <c:v>3.3</c:v>
                </c:pt>
                <c:pt idx="7">
                  <c:v>4.75</c:v>
                </c:pt>
                <c:pt idx="8">
                  <c:v>1.86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28800"/>
        <c:axId val="173741696"/>
      </c:barChart>
      <c:catAx>
        <c:axId val="1484288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73741696"/>
        <c:crosses val="autoZero"/>
        <c:auto val="1"/>
        <c:lblAlgn val="ctr"/>
        <c:lblOffset val="100"/>
        <c:noMultiLvlLbl val="0"/>
      </c:catAx>
      <c:valAx>
        <c:axId val="17374169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4288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Захворюваність дітей 0-17 років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trendline>
            <c:trendlineType val="linear"/>
            <c:dispRSqr val="0"/>
            <c:dispEq val="0"/>
          </c:trendline>
          <c:cat>
            <c:strRef>
              <c:f>Лист1!$A$2:$A$4</c:f>
              <c:strCache>
                <c:ptCount val="3"/>
                <c:pt idx="0">
                  <c:v>І півріччя 2019</c:v>
                </c:pt>
                <c:pt idx="1">
                  <c:v>І півріччя 2020</c:v>
                </c:pt>
                <c:pt idx="2">
                  <c:v>І пів. 2021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5.5</c:v>
                </c:pt>
                <c:pt idx="1">
                  <c:v>7.7</c:v>
                </c:pt>
                <c:pt idx="2">
                  <c:v>5.2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Захворюваність на ТБ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trendline>
            <c:trendlineType val="linear"/>
            <c:dispRSqr val="0"/>
            <c:dispEq val="0"/>
          </c:trendline>
          <c:cat>
            <c:strRef>
              <c:f>Лист1!$A$2:$A$4</c:f>
              <c:strCache>
                <c:ptCount val="3"/>
                <c:pt idx="0">
                  <c:v>І півріччя 2019</c:v>
                </c:pt>
                <c:pt idx="1">
                  <c:v>І півріччя 2020</c:v>
                </c:pt>
                <c:pt idx="2">
                  <c:v>І пів. 2021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29.8</c:v>
                </c:pt>
                <c:pt idx="1">
                  <c:v>24.2</c:v>
                </c:pt>
                <c:pt idx="2">
                  <c:v>19.600000000000001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Смертність ТБ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І півріччя 2019</c:v>
                </c:pt>
                <c:pt idx="1">
                  <c:v>І півріччя 2020</c:v>
                </c:pt>
                <c:pt idx="2">
                  <c:v>І пів. 2021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3.05</c:v>
                </c:pt>
                <c:pt idx="1">
                  <c:v>3.25</c:v>
                </c:pt>
                <c:pt idx="2">
                  <c:v>1.86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Смертність ТБ до 1 року спостереження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Лист1!$A$2:$A$4</c:f>
              <c:strCache>
                <c:ptCount val="3"/>
                <c:pt idx="0">
                  <c:v>І півріччя 2019</c:v>
                </c:pt>
                <c:pt idx="1">
                  <c:v>І півріччя 2020</c:v>
                </c:pt>
                <c:pt idx="2">
                  <c:v>І пів. 2021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0.57999999999999996</c:v>
                </c:pt>
                <c:pt idx="1">
                  <c:v>0.75</c:v>
                </c:pt>
                <c:pt idx="2">
                  <c:v>1.3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93810432"/>
        <c:axId val="173743424"/>
      </c:barChart>
      <c:catAx>
        <c:axId val="193810432"/>
        <c:scaling>
          <c:orientation val="minMax"/>
        </c:scaling>
        <c:delete val="0"/>
        <c:axPos val="b"/>
        <c:majorTickMark val="out"/>
        <c:minorTickMark val="none"/>
        <c:tickLblPos val="nextTo"/>
        <c:crossAx val="173743424"/>
        <c:crosses val="autoZero"/>
        <c:auto val="1"/>
        <c:lblAlgn val="ctr"/>
        <c:lblOffset val="100"/>
        <c:noMultiLvlLbl val="0"/>
      </c:catAx>
      <c:valAx>
        <c:axId val="17374342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38104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uk-UA"/>
              <a:t>«Виявлення нових випадків та рецидивів з КСБ "+" (% до обстежених) </a:t>
            </a:r>
          </a:p>
        </c:rich>
      </c:tx>
      <c:layout/>
      <c:overlay val="0"/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«Виявлення нових випадків та рецидивів з КСБ "+" </c:v>
                </c:pt>
              </c:strCache>
            </c:strRef>
          </c:tx>
          <c:invertIfNegative val="0"/>
          <c:cat>
            <c:strRef>
              <c:f>Лист1!$A$2:$A$26</c:f>
              <c:strCache>
                <c:ptCount val="25"/>
                <c:pt idx="0">
                  <c:v>Жашківський</c:v>
                </c:pt>
                <c:pt idx="1">
                  <c:v>К.-Шевченківський</c:v>
                </c:pt>
                <c:pt idx="2">
                  <c:v>Канівський</c:v>
                </c:pt>
                <c:pt idx="3">
                  <c:v>Монастирищенський</c:v>
                </c:pt>
                <c:pt idx="4">
                  <c:v>Чигиринський</c:v>
                </c:pt>
                <c:pt idx="5">
                  <c:v>Смілянський</c:v>
                </c:pt>
                <c:pt idx="6">
                  <c:v>Золотоніський</c:v>
                </c:pt>
                <c:pt idx="7">
                  <c:v>Уманський</c:v>
                </c:pt>
                <c:pt idx="8">
                  <c:v>Ватутіно</c:v>
                </c:pt>
                <c:pt idx="9">
                  <c:v>Черкаси</c:v>
                </c:pt>
                <c:pt idx="10">
                  <c:v>Сміла</c:v>
                </c:pt>
                <c:pt idx="11">
                  <c:v>Звенигородський</c:v>
                </c:pt>
                <c:pt idx="12">
                  <c:v>Тальнівський</c:v>
                </c:pt>
                <c:pt idx="13">
                  <c:v>Лисянський</c:v>
                </c:pt>
                <c:pt idx="14">
                  <c:v>Шполянський</c:v>
                </c:pt>
                <c:pt idx="15">
                  <c:v>Маньківський</c:v>
                </c:pt>
                <c:pt idx="16">
                  <c:v>Всього по області</c:v>
                </c:pt>
                <c:pt idx="17">
                  <c:v>Катеринопільський</c:v>
                </c:pt>
                <c:pt idx="18">
                  <c:v>Чорнобаївський</c:v>
                </c:pt>
                <c:pt idx="19">
                  <c:v>Умань</c:v>
                </c:pt>
                <c:pt idx="20">
                  <c:v>Христинівський</c:v>
                </c:pt>
                <c:pt idx="21">
                  <c:v>Кам'янський</c:v>
                </c:pt>
                <c:pt idx="22">
                  <c:v>Черкаський</c:v>
                </c:pt>
                <c:pt idx="23">
                  <c:v>Городищенський</c:v>
                </c:pt>
                <c:pt idx="24">
                  <c:v>Драбівський</c:v>
                </c:pt>
              </c:strCache>
            </c:strRef>
          </c:cat>
          <c:val>
            <c:numRef>
              <c:f>Лист1!$B$2:$B$26</c:f>
              <c:numCache>
                <c:formatCode>0.0</c:formatCode>
                <c:ptCount val="25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1.5873015873015872</c:v>
                </c:pt>
                <c:pt idx="6">
                  <c:v>2.666666666666667</c:v>
                </c:pt>
                <c:pt idx="7">
                  <c:v>3.3333333333333335</c:v>
                </c:pt>
                <c:pt idx="8">
                  <c:v>3.3898305084745761</c:v>
                </c:pt>
                <c:pt idx="9">
                  <c:v>3.4482758620689653</c:v>
                </c:pt>
                <c:pt idx="10">
                  <c:v>3.5294117647058822</c:v>
                </c:pt>
                <c:pt idx="11">
                  <c:v>5.5555555555555554</c:v>
                </c:pt>
                <c:pt idx="12">
                  <c:v>5.5555555555555554</c:v>
                </c:pt>
                <c:pt idx="13">
                  <c:v>5.8823529411764701</c:v>
                </c:pt>
                <c:pt idx="14">
                  <c:v>6.024096385542169</c:v>
                </c:pt>
                <c:pt idx="15">
                  <c:v>6.666666666666667</c:v>
                </c:pt>
                <c:pt idx="16">
                  <c:v>6.9297401347449465</c:v>
                </c:pt>
                <c:pt idx="17">
                  <c:v>9.375</c:v>
                </c:pt>
                <c:pt idx="18">
                  <c:v>9.5238095238095237</c:v>
                </c:pt>
                <c:pt idx="19">
                  <c:v>12.556053811659194</c:v>
                </c:pt>
                <c:pt idx="20">
                  <c:v>14.285714285714285</c:v>
                </c:pt>
                <c:pt idx="21">
                  <c:v>20</c:v>
                </c:pt>
                <c:pt idx="22">
                  <c:v>20</c:v>
                </c:pt>
                <c:pt idx="23">
                  <c:v>23.333333333333332</c:v>
                </c:pt>
                <c:pt idx="24">
                  <c:v>28.571428571428569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28288"/>
        <c:axId val="173747008"/>
      </c:barChart>
      <c:catAx>
        <c:axId val="148428288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173747008"/>
        <c:crosses val="autoZero"/>
        <c:auto val="1"/>
        <c:lblAlgn val="ctr"/>
        <c:lblOffset val="100"/>
        <c:noMultiLvlLbl val="0"/>
      </c:catAx>
      <c:valAx>
        <c:axId val="173747008"/>
        <c:scaling>
          <c:orientation val="minMax"/>
        </c:scaling>
        <c:delete val="0"/>
        <c:axPos val="b"/>
        <c:majorGridlines/>
        <c:numFmt formatCode="0.0" sourceLinked="1"/>
        <c:majorTickMark val="out"/>
        <c:minorTickMark val="none"/>
        <c:tickLblPos val="nextTo"/>
        <c:crossAx val="14842828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Діагностичні КСП негатив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січень 2021</c:v>
                </c:pt>
                <c:pt idx="1">
                  <c:v>лютий 2021</c:v>
                </c:pt>
                <c:pt idx="2">
                  <c:v>березень 2021</c:v>
                </c:pt>
                <c:pt idx="3">
                  <c:v>квітень 2021</c:v>
                </c:pt>
                <c:pt idx="4">
                  <c:v>травень 2021</c:v>
                </c:pt>
                <c:pt idx="5">
                  <c:v>червень 2021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40</c:v>
                </c:pt>
                <c:pt idx="1">
                  <c:v>52</c:v>
                </c:pt>
                <c:pt idx="2">
                  <c:v>20</c:v>
                </c:pt>
                <c:pt idx="3">
                  <c:v>78</c:v>
                </c:pt>
                <c:pt idx="4">
                  <c:v>54</c:v>
                </c:pt>
                <c:pt idx="5">
                  <c:v>53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Діагностичні КСП позитив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січень 2021</c:v>
                </c:pt>
                <c:pt idx="1">
                  <c:v>лютий 2021</c:v>
                </c:pt>
                <c:pt idx="2">
                  <c:v>березень 2021</c:v>
                </c:pt>
                <c:pt idx="3">
                  <c:v>квітень 2021</c:v>
                </c:pt>
                <c:pt idx="4">
                  <c:v>травень 2021</c:v>
                </c:pt>
                <c:pt idx="5">
                  <c:v>червень 2021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3</c:v>
                </c:pt>
                <c:pt idx="1">
                  <c:v>3</c:v>
                </c:pt>
                <c:pt idx="2">
                  <c:v>6</c:v>
                </c:pt>
                <c:pt idx="3">
                  <c:v>4</c:v>
                </c:pt>
                <c:pt idx="4">
                  <c:v>3</c:v>
                </c:pt>
                <c:pt idx="5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48429824"/>
        <c:axId val="173748736"/>
      </c:barChart>
      <c:catAx>
        <c:axId val="148429824"/>
        <c:scaling>
          <c:orientation val="minMax"/>
        </c:scaling>
        <c:delete val="0"/>
        <c:axPos val="b"/>
        <c:majorTickMark val="out"/>
        <c:minorTickMark val="none"/>
        <c:tickLblPos val="nextTo"/>
        <c:crossAx val="173748736"/>
        <c:crosses val="autoZero"/>
        <c:auto val="1"/>
        <c:lblAlgn val="ctr"/>
        <c:lblOffset val="100"/>
        <c:noMultiLvlLbl val="0"/>
      </c:catAx>
      <c:valAx>
        <c:axId val="17374873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42982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0.23100885826771653"/>
          <c:y val="4.3650793650793648E-2"/>
          <c:w val="0.45748760571595215"/>
          <c:h val="0.85693788276465443"/>
        </c:manualLayout>
      </c:layout>
      <c:barChart>
        <c:barDir val="bar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Діагностичні негативні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Тальнівський</c:v>
                </c:pt>
                <c:pt idx="1">
                  <c:v>Маньківський</c:v>
                </c:pt>
                <c:pt idx="2">
                  <c:v>Городищенський</c:v>
                </c:pt>
                <c:pt idx="3">
                  <c:v>Жашківський</c:v>
                </c:pt>
                <c:pt idx="4">
                  <c:v>Черкаський</c:v>
                </c:pt>
                <c:pt idx="5">
                  <c:v>Чигиринський</c:v>
                </c:pt>
                <c:pt idx="6">
                  <c:v>Канівський</c:v>
                </c:pt>
                <c:pt idx="7">
                  <c:v>Монастирищенський</c:v>
                </c:pt>
                <c:pt idx="8">
                  <c:v>Чорнобаївський</c:v>
                </c:pt>
                <c:pt idx="9">
                  <c:v>Кам’янський</c:v>
                </c:pt>
                <c:pt idx="10">
                  <c:v>Катеринопільський</c:v>
                </c:pt>
                <c:pt idx="11">
                  <c:v>Лисянський</c:v>
                </c:pt>
                <c:pt idx="12">
                  <c:v>Христинівський</c:v>
                </c:pt>
                <c:pt idx="13">
                  <c:v>Звенигородський</c:v>
                </c:pt>
                <c:pt idx="14">
                  <c:v>Смілянський</c:v>
                </c:pt>
                <c:pt idx="15">
                  <c:v>К-Шевченківський</c:v>
                </c:pt>
                <c:pt idx="16">
                  <c:v>Уманський</c:v>
                </c:pt>
                <c:pt idx="17">
                  <c:v>Шполянський</c:v>
                </c:pt>
                <c:pt idx="18">
                  <c:v>Драбівський</c:v>
                </c:pt>
              </c:strCache>
            </c:strRef>
          </c:cat>
          <c:val>
            <c:numRef>
              <c:f>Лист1!$B$2:$B$20</c:f>
              <c:numCache>
                <c:formatCode>General</c:formatCode>
                <c:ptCount val="19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4</c:v>
                </c:pt>
                <c:pt idx="4">
                  <c:v>4</c:v>
                </c:pt>
                <c:pt idx="5">
                  <c:v>4</c:v>
                </c:pt>
                <c:pt idx="6">
                  <c:v>5</c:v>
                </c:pt>
                <c:pt idx="7">
                  <c:v>5</c:v>
                </c:pt>
                <c:pt idx="8">
                  <c:v>6</c:v>
                </c:pt>
                <c:pt idx="9">
                  <c:v>10</c:v>
                </c:pt>
                <c:pt idx="10">
                  <c:v>13</c:v>
                </c:pt>
                <c:pt idx="11">
                  <c:v>13</c:v>
                </c:pt>
                <c:pt idx="12">
                  <c:v>18</c:v>
                </c:pt>
                <c:pt idx="13">
                  <c:v>20</c:v>
                </c:pt>
                <c:pt idx="14">
                  <c:v>20</c:v>
                </c:pt>
                <c:pt idx="15">
                  <c:v>22</c:v>
                </c:pt>
                <c:pt idx="16">
                  <c:v>36</c:v>
                </c:pt>
                <c:pt idx="17">
                  <c:v>38</c:v>
                </c:pt>
                <c:pt idx="18">
                  <c:v>49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Діагностичні позитивні</c:v>
                </c:pt>
              </c:strCache>
            </c:strRef>
          </c:tx>
          <c:invertIfNegative val="0"/>
          <c:dLbls>
            <c:txPr>
              <a:bodyPr/>
              <a:lstStyle/>
              <a:p>
                <a:pPr>
                  <a:defRPr sz="800" baseline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Лист1!$A$2:$A$20</c:f>
              <c:strCache>
                <c:ptCount val="19"/>
                <c:pt idx="0">
                  <c:v>Тальнівський</c:v>
                </c:pt>
                <c:pt idx="1">
                  <c:v>Маньківський</c:v>
                </c:pt>
                <c:pt idx="2">
                  <c:v>Городищенський</c:v>
                </c:pt>
                <c:pt idx="3">
                  <c:v>Жашківський</c:v>
                </c:pt>
                <c:pt idx="4">
                  <c:v>Черкаський</c:v>
                </c:pt>
                <c:pt idx="5">
                  <c:v>Чигиринський</c:v>
                </c:pt>
                <c:pt idx="6">
                  <c:v>Канівський</c:v>
                </c:pt>
                <c:pt idx="7">
                  <c:v>Монастирищенський</c:v>
                </c:pt>
                <c:pt idx="8">
                  <c:v>Чорнобаївський</c:v>
                </c:pt>
                <c:pt idx="9">
                  <c:v>Кам’янський</c:v>
                </c:pt>
                <c:pt idx="10">
                  <c:v>Катеринопільський</c:v>
                </c:pt>
                <c:pt idx="11">
                  <c:v>Лисянський</c:v>
                </c:pt>
                <c:pt idx="12">
                  <c:v>Христинівський</c:v>
                </c:pt>
                <c:pt idx="13">
                  <c:v>Звенигородський</c:v>
                </c:pt>
                <c:pt idx="14">
                  <c:v>Смілянський</c:v>
                </c:pt>
                <c:pt idx="15">
                  <c:v>К-Шевченківський</c:v>
                </c:pt>
                <c:pt idx="16">
                  <c:v>Уманський</c:v>
                </c:pt>
                <c:pt idx="17">
                  <c:v>Шполянський</c:v>
                </c:pt>
                <c:pt idx="18">
                  <c:v>Драбівський</c:v>
                </c:pt>
              </c:strCache>
            </c:strRef>
          </c:cat>
          <c:val>
            <c:numRef>
              <c:f>Лист1!$C$2:$C$20</c:f>
              <c:numCache>
                <c:formatCode>General</c:formatCode>
                <c:ptCount val="19"/>
                <c:pt idx="0">
                  <c:v>1</c:v>
                </c:pt>
                <c:pt idx="1">
                  <c:v>0</c:v>
                </c:pt>
                <c:pt idx="2">
                  <c:v>1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1</c:v>
                </c:pt>
                <c:pt idx="7">
                  <c:v>0</c:v>
                </c:pt>
                <c:pt idx="8">
                  <c:v>1</c:v>
                </c:pt>
                <c:pt idx="9">
                  <c:v>1</c:v>
                </c:pt>
                <c:pt idx="10">
                  <c:v>1</c:v>
                </c:pt>
                <c:pt idx="11">
                  <c:v>1</c:v>
                </c:pt>
                <c:pt idx="12">
                  <c:v>0</c:v>
                </c:pt>
                <c:pt idx="13">
                  <c:v>2</c:v>
                </c:pt>
                <c:pt idx="14">
                  <c:v>1</c:v>
                </c:pt>
                <c:pt idx="15">
                  <c:v>0</c:v>
                </c:pt>
                <c:pt idx="16">
                  <c:v>4</c:v>
                </c:pt>
                <c:pt idx="17">
                  <c:v>8</c:v>
                </c:pt>
                <c:pt idx="18">
                  <c:v>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72664832"/>
        <c:axId val="173750464"/>
      </c:barChart>
      <c:catAx>
        <c:axId val="172664832"/>
        <c:scaling>
          <c:orientation val="minMax"/>
        </c:scaling>
        <c:delete val="0"/>
        <c:axPos val="l"/>
        <c:majorTickMark val="out"/>
        <c:minorTickMark val="none"/>
        <c:tickLblPos val="nextTo"/>
        <c:txPr>
          <a:bodyPr/>
          <a:lstStyle/>
          <a:p>
            <a:pPr>
              <a:defRPr sz="750" baseline="0"/>
            </a:pPr>
            <a:endParaRPr lang="ru-RU"/>
          </a:p>
        </c:txPr>
        <c:crossAx val="173750464"/>
        <c:crosses val="autoZero"/>
        <c:auto val="1"/>
        <c:lblAlgn val="ctr"/>
        <c:lblOffset val="100"/>
        <c:noMultiLvlLbl val="0"/>
      </c:catAx>
      <c:valAx>
        <c:axId val="173750464"/>
        <c:scaling>
          <c:orientation val="minMax"/>
        </c:scaling>
        <c:delete val="0"/>
        <c:axPos val="b"/>
        <c:majorGridlines/>
        <c:numFmt formatCode="General" sourceLinked="1"/>
        <c:majorTickMark val="out"/>
        <c:minorTickMark val="none"/>
        <c:tickLblPos val="nextTo"/>
        <c:crossAx val="17266483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Обстежено КСП негатив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Вторинна ланка І пів. 2020</c:v>
                </c:pt>
                <c:pt idx="1">
                  <c:v>Вторинна ланка І пів. 2021</c:v>
                </c:pt>
                <c:pt idx="2">
                  <c:v>Первинна ланка І пів. 2020</c:v>
                </c:pt>
                <c:pt idx="3">
                  <c:v>Первинна ланка І пів. 2021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1372</c:v>
                </c:pt>
                <c:pt idx="1">
                  <c:v>619</c:v>
                </c:pt>
                <c:pt idx="2">
                  <c:v>529</c:v>
                </c:pt>
                <c:pt idx="3">
                  <c:v>328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Обстежено КСП позитив</c:v>
                </c:pt>
              </c:strCache>
            </c:strRef>
          </c:tx>
          <c:invertIfNegative val="0"/>
          <c:dLbls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Лист1!$A$2:$A$5</c:f>
              <c:strCache>
                <c:ptCount val="4"/>
                <c:pt idx="0">
                  <c:v>Вторинна ланка І пів. 2020</c:v>
                </c:pt>
                <c:pt idx="1">
                  <c:v>Вторинна ланка І пів. 2021</c:v>
                </c:pt>
                <c:pt idx="2">
                  <c:v>Первинна ланка І пів. 2020</c:v>
                </c:pt>
                <c:pt idx="3">
                  <c:v>Первинна ланка І пів. 2021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58</c:v>
                </c:pt>
                <c:pt idx="1">
                  <c:v>52</c:v>
                </c:pt>
                <c:pt idx="2">
                  <c:v>17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193813504"/>
        <c:axId val="195387392"/>
      </c:barChart>
      <c:catAx>
        <c:axId val="193813504"/>
        <c:scaling>
          <c:orientation val="minMax"/>
        </c:scaling>
        <c:delete val="0"/>
        <c:axPos val="b"/>
        <c:majorTickMark val="out"/>
        <c:minorTickMark val="none"/>
        <c:tickLblPos val="nextTo"/>
        <c:crossAx val="195387392"/>
        <c:crosses val="autoZero"/>
        <c:auto val="1"/>
        <c:lblAlgn val="ctr"/>
        <c:lblOffset val="100"/>
        <c:noMultiLvlLbl val="0"/>
      </c:catAx>
      <c:valAx>
        <c:axId val="195387392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93813504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І півріччя 2020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2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3"/>
            <c:invertIfNegative val="0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20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Pt>
            <c:idx val="5"/>
            <c:invertIfNegative val="0"/>
            <c:bubble3D val="0"/>
            <c:spPr>
              <a:gradFill>
                <a:gsLst>
                  <a:gs pos="0">
                    <a:schemeClr val="accent1">
                      <a:tint val="66000"/>
                      <a:satMod val="160000"/>
                    </a:schemeClr>
                  </a:gs>
                  <a:gs pos="11000">
                    <a:schemeClr val="accent1">
                      <a:tint val="44500"/>
                      <a:satMod val="160000"/>
                    </a:schemeClr>
                  </a:gs>
                  <a:gs pos="100000">
                    <a:schemeClr val="accent1">
                      <a:tint val="23500"/>
                      <a:satMod val="160000"/>
                    </a:schemeClr>
                  </a:gs>
                </a:gsLst>
                <a:lin ang="5400000" scaled="0"/>
              </a:gradFill>
            </c:spPr>
          </c:dPt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Кам'янський район, вторинний рівень</c:v>
                </c:pt>
                <c:pt idx="1">
                  <c:v>Кам'янський район, первинний рівень</c:v>
                </c:pt>
                <c:pt idx="2">
                  <c:v>Лисянський район, вторинний рівень</c:v>
                </c:pt>
                <c:pt idx="3">
                  <c:v>Лисянський район, первинний рівень</c:v>
                </c:pt>
                <c:pt idx="4">
                  <c:v>Маньківський район, вторинний рівень</c:v>
                </c:pt>
                <c:pt idx="5">
                  <c:v>Маньківський район, первинний рівень</c:v>
                </c:pt>
              </c:strCache>
            </c:strRef>
          </c:cat>
          <c:val>
            <c:numRef>
              <c:f>Лист1!$B$2:$B$7</c:f>
              <c:numCache>
                <c:formatCode>General</c:formatCode>
                <c:ptCount val="6"/>
                <c:pt idx="0">
                  <c:v>18</c:v>
                </c:pt>
                <c:pt idx="1">
                  <c:v>6</c:v>
                </c:pt>
                <c:pt idx="2">
                  <c:v>39</c:v>
                </c:pt>
                <c:pt idx="3">
                  <c:v>13</c:v>
                </c:pt>
                <c:pt idx="4">
                  <c:v>7</c:v>
                </c:pt>
                <c:pt idx="5">
                  <c:v>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І півріччя 2021</c:v>
                </c:pt>
              </c:strCache>
            </c:strRef>
          </c:tx>
          <c:invertIfNegative val="0"/>
          <c:dPt>
            <c:idx val="1"/>
            <c:invertIfNegative val="0"/>
            <c:bubble3D val="0"/>
            <c:spPr>
              <a:solidFill>
                <a:srgbClr val="C00000">
                  <a:alpha val="40000"/>
                </a:srgbClr>
              </a:solidFill>
            </c:spPr>
          </c:dPt>
          <c:dPt>
            <c:idx val="3"/>
            <c:invertIfNegative val="0"/>
            <c:bubble3D val="0"/>
            <c:spPr>
              <a:solidFill>
                <a:srgbClr val="C00000">
                  <a:alpha val="40000"/>
                </a:srgbClr>
              </a:solidFill>
            </c:spPr>
          </c:dPt>
          <c:dPt>
            <c:idx val="5"/>
            <c:invertIfNegative val="0"/>
            <c:bubble3D val="0"/>
            <c:spPr>
              <a:solidFill>
                <a:srgbClr val="C00000">
                  <a:alpha val="39000"/>
                </a:srgbClr>
              </a:solidFill>
            </c:spPr>
          </c:dPt>
          <c:dLbls>
            <c:txPr>
              <a:bodyPr/>
              <a:lstStyle/>
              <a:p>
                <a:pPr>
                  <a:defRPr sz="9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strRef>
              <c:f>Лист1!$A$2:$A$7</c:f>
              <c:strCache>
                <c:ptCount val="6"/>
                <c:pt idx="0">
                  <c:v>Кам'янський район, вторинний рівень</c:v>
                </c:pt>
                <c:pt idx="1">
                  <c:v>Кам'янський район, первинний рівень</c:v>
                </c:pt>
                <c:pt idx="2">
                  <c:v>Лисянський район, вторинний рівень</c:v>
                </c:pt>
                <c:pt idx="3">
                  <c:v>Лисянський район, первинний рівень</c:v>
                </c:pt>
                <c:pt idx="4">
                  <c:v>Маньківський район, вторинний рівень</c:v>
                </c:pt>
                <c:pt idx="5">
                  <c:v>Маньківський район, первинний рівень</c:v>
                </c:pt>
              </c:strCache>
            </c:strRef>
          </c:cat>
          <c:val>
            <c:numRef>
              <c:f>Лист1!$C$2:$C$7</c:f>
              <c:numCache>
                <c:formatCode>General</c:formatCode>
                <c:ptCount val="6"/>
                <c:pt idx="0">
                  <c:v>7</c:v>
                </c:pt>
                <c:pt idx="1">
                  <c:v>3</c:v>
                </c:pt>
                <c:pt idx="2">
                  <c:v>0</c:v>
                </c:pt>
                <c:pt idx="3">
                  <c:v>17</c:v>
                </c:pt>
                <c:pt idx="4">
                  <c:v>12</c:v>
                </c:pt>
                <c:pt idx="5">
                  <c:v>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429312"/>
        <c:axId val="195389120"/>
      </c:barChart>
      <c:catAx>
        <c:axId val="14842931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/>
          <a:lstStyle/>
          <a:p>
            <a:pPr>
              <a:defRPr sz="800" baseline="0"/>
            </a:pPr>
            <a:endParaRPr lang="ru-RU"/>
          </a:p>
        </c:txPr>
        <c:crossAx val="195389120"/>
        <c:crosses val="autoZero"/>
        <c:auto val="1"/>
        <c:lblAlgn val="ctr"/>
        <c:lblOffset val="100"/>
        <c:noMultiLvlLbl val="0"/>
      </c:catAx>
      <c:valAx>
        <c:axId val="1953891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429312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0.21955</cdr:x>
      <cdr:y>0.86349</cdr:y>
    </cdr:from>
    <cdr:to>
      <cdr:x>0.57407</cdr:x>
      <cdr:y>0.8956</cdr:y>
    </cdr:to>
    <cdr:cxnSp macro="">
      <cdr:nvCxnSpPr>
        <cdr:cNvPr id="9" name="Прямая соединительная линия 8"/>
        <cdr:cNvCxnSpPr/>
      </cdr:nvCxnSpPr>
      <cdr:spPr>
        <a:xfrm xmlns:a="http://schemas.openxmlformats.org/drawingml/2006/main" flipV="1">
          <a:off x="1204539" y="2763520"/>
          <a:ext cx="1945061" cy="102758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0.15741</cdr:x>
      <cdr:y>0.83135</cdr:y>
    </cdr:from>
    <cdr:to>
      <cdr:x>0.5537</cdr:x>
      <cdr:y>0.84444</cdr:y>
    </cdr:to>
    <cdr:cxnSp macro="">
      <cdr:nvCxnSpPr>
        <cdr:cNvPr id="11" name="Прямая соединительная линия 10"/>
        <cdr:cNvCxnSpPr/>
      </cdr:nvCxnSpPr>
      <cdr:spPr>
        <a:xfrm xmlns:a="http://schemas.openxmlformats.org/drawingml/2006/main">
          <a:off x="863614" y="2660654"/>
          <a:ext cx="2174226" cy="41906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0.25229</cdr:x>
      <cdr:y>0.10936</cdr:y>
    </cdr:from>
    <cdr:to>
      <cdr:x>0.25497</cdr:x>
      <cdr:y>0.94538</cdr:y>
    </cdr:to>
    <cdr:cxnSp macro="">
      <cdr:nvCxnSpPr>
        <cdr:cNvPr id="2" name="Прямая соединительная линия 1"/>
        <cdr:cNvCxnSpPr/>
      </cdr:nvCxnSpPr>
      <cdr:spPr>
        <a:xfrm xmlns:a="http://schemas.openxmlformats.org/drawingml/2006/main" flipH="1">
          <a:off x="1654731" y="556670"/>
          <a:ext cx="17578" cy="4255476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0.33236</cdr:x>
      <cdr:y>0.10709</cdr:y>
    </cdr:from>
    <cdr:to>
      <cdr:x>0.33504</cdr:x>
      <cdr:y>0.9362</cdr:y>
    </cdr:to>
    <cdr:cxnSp macro="">
      <cdr:nvCxnSpPr>
        <cdr:cNvPr id="6" name="Прямая соединительная линия 5"/>
        <cdr:cNvCxnSpPr/>
      </cdr:nvCxnSpPr>
      <cdr:spPr>
        <a:xfrm xmlns:a="http://schemas.openxmlformats.org/drawingml/2006/main" flipH="1">
          <a:off x="2179927" y="545105"/>
          <a:ext cx="17578" cy="4220303"/>
        </a:xfrm>
        <a:prstGeom xmlns:a="http://schemas.openxmlformats.org/drawingml/2006/main" prst="line">
          <a:avLst/>
        </a:prstGeom>
      </cdr:spPr>
      <cdr:style>
        <a:lnRef xmlns:a="http://schemas.openxmlformats.org/drawingml/2006/main" idx="2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1">
          <a:schemeClr val="accent2"/>
        </a:effectRef>
        <a:fontRef xmlns:a="http://schemas.openxmlformats.org/drawingml/2006/main" idx="minor">
          <a:schemeClr val="tx1"/>
        </a:fontRef>
      </cdr:style>
    </cdr:cxnSp>
  </cdr:relSizeAnchor>
</c:userShapes>
</file>

<file path=word/drawings/drawing3.xml><?xml version="1.0" encoding="utf-8"?>
<c:userShapes xmlns:c="http://schemas.openxmlformats.org/drawingml/2006/chart">
  <cdr:relSizeAnchor xmlns:cdr="http://schemas.openxmlformats.org/drawingml/2006/chartDrawing">
    <cdr:from>
      <cdr:x>0.23188</cdr:x>
      <cdr:y>0.0646</cdr:y>
    </cdr:from>
    <cdr:to>
      <cdr:x>0.32029</cdr:x>
      <cdr:y>0.14658</cdr:y>
    </cdr:to>
    <cdr:sp macro="" textlink="">
      <cdr:nvSpPr>
        <cdr:cNvPr id="2" name="Прямоугольник 1"/>
        <cdr:cNvSpPr/>
      </cdr:nvSpPr>
      <cdr:spPr>
        <a:xfrm xmlns:a="http://schemas.openxmlformats.org/drawingml/2006/main">
          <a:off x="1272207" y="206735"/>
          <a:ext cx="485031" cy="262392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0">
          <a:schemeClr val="accent2"/>
        </a:lnRef>
        <a:fillRef xmlns:a="http://schemas.openxmlformats.org/drawingml/2006/main" idx="3">
          <a:schemeClr val="accent2"/>
        </a:fillRef>
        <a:effectRef xmlns:a="http://schemas.openxmlformats.org/drawingml/2006/main" idx="3">
          <a:schemeClr val="accent2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uk-UA"/>
            <a:t>4,1%</a:t>
          </a:r>
        </a:p>
      </cdr:txBody>
    </cdr:sp>
  </cdr:relSizeAnchor>
  <cdr:relSizeAnchor xmlns:cdr="http://schemas.openxmlformats.org/drawingml/2006/chartDrawing">
    <cdr:from>
      <cdr:x>0.18056</cdr:x>
      <cdr:y>0.10559</cdr:y>
    </cdr:from>
    <cdr:to>
      <cdr:x>0.23188</cdr:x>
      <cdr:y>0.13968</cdr:y>
    </cdr:to>
    <cdr:cxnSp macro="">
      <cdr:nvCxnSpPr>
        <cdr:cNvPr id="4" name="Прямая со стрелкой 3"/>
        <cdr:cNvCxnSpPr>
          <a:stCxn xmlns:a="http://schemas.openxmlformats.org/drawingml/2006/main" id="2" idx="1"/>
        </cdr:cNvCxnSpPr>
      </cdr:nvCxnSpPr>
      <cdr:spPr>
        <a:xfrm xmlns:a="http://schemas.openxmlformats.org/drawingml/2006/main" flipH="1">
          <a:off x="990600" y="337931"/>
          <a:ext cx="281586" cy="109109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0.55241</cdr:x>
      <cdr:y>0.40538</cdr:y>
    </cdr:from>
    <cdr:to>
      <cdr:x>0.64951</cdr:x>
      <cdr:y>0.4824</cdr:y>
    </cdr:to>
    <cdr:sp macro="" textlink="">
      <cdr:nvSpPr>
        <cdr:cNvPr id="5" name="Прямоугольник 4"/>
        <cdr:cNvSpPr/>
      </cdr:nvSpPr>
      <cdr:spPr>
        <a:xfrm xmlns:a="http://schemas.openxmlformats.org/drawingml/2006/main">
          <a:off x="3030767" y="1297389"/>
          <a:ext cx="532729" cy="246495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0">
          <a:schemeClr val="accent2"/>
        </a:lnRef>
        <a:fillRef xmlns:a="http://schemas.openxmlformats.org/drawingml/2006/main" idx="3">
          <a:schemeClr val="accent2"/>
        </a:fillRef>
        <a:effectRef xmlns:a="http://schemas.openxmlformats.org/drawingml/2006/main" idx="3">
          <a:schemeClr val="accent2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uk-UA"/>
            <a:t>3,2%</a:t>
          </a:r>
        </a:p>
      </cdr:txBody>
    </cdr:sp>
  </cdr:relSizeAnchor>
  <cdr:relSizeAnchor xmlns:cdr="http://schemas.openxmlformats.org/drawingml/2006/chartDrawing">
    <cdr:from>
      <cdr:x>0.48418</cdr:x>
      <cdr:y>0.44389</cdr:y>
    </cdr:from>
    <cdr:to>
      <cdr:x>0.55241</cdr:x>
      <cdr:y>0.54693</cdr:y>
    </cdr:to>
    <cdr:cxnSp macro="">
      <cdr:nvCxnSpPr>
        <cdr:cNvPr id="7" name="Прямая со стрелкой 6"/>
        <cdr:cNvCxnSpPr>
          <a:stCxn xmlns:a="http://schemas.openxmlformats.org/drawingml/2006/main" id="5" idx="1"/>
        </cdr:cNvCxnSpPr>
      </cdr:nvCxnSpPr>
      <cdr:spPr>
        <a:xfrm xmlns:a="http://schemas.openxmlformats.org/drawingml/2006/main" flipH="1">
          <a:off x="2656418" y="1420637"/>
          <a:ext cx="374349" cy="329745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0.32593</cdr:x>
      <cdr:y>0.4254</cdr:y>
    </cdr:from>
    <cdr:to>
      <cdr:x>0.39259</cdr:x>
      <cdr:y>0.49048</cdr:y>
    </cdr:to>
    <cdr:cxnSp macro="">
      <cdr:nvCxnSpPr>
        <cdr:cNvPr id="10" name="Прямая со стрелкой 9"/>
        <cdr:cNvCxnSpPr/>
      </cdr:nvCxnSpPr>
      <cdr:spPr>
        <a:xfrm xmlns:a="http://schemas.openxmlformats.org/drawingml/2006/main" flipH="1">
          <a:off x="1788160" y="1361440"/>
          <a:ext cx="365760" cy="20828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0.62963</cdr:x>
      <cdr:y>0.60476</cdr:y>
    </cdr:from>
    <cdr:to>
      <cdr:x>0.66852</cdr:x>
      <cdr:y>0.63651</cdr:y>
    </cdr:to>
    <cdr:cxnSp macro="">
      <cdr:nvCxnSpPr>
        <cdr:cNvPr id="14" name="Прямая со стрелкой 13"/>
        <cdr:cNvCxnSpPr>
          <a:stCxn xmlns:a="http://schemas.openxmlformats.org/drawingml/2006/main" id="17" idx="1"/>
        </cdr:cNvCxnSpPr>
      </cdr:nvCxnSpPr>
      <cdr:spPr>
        <a:xfrm xmlns:a="http://schemas.openxmlformats.org/drawingml/2006/main" flipH="1">
          <a:off x="3454400" y="1935480"/>
          <a:ext cx="213360" cy="101600"/>
        </a:xfrm>
        <a:prstGeom xmlns:a="http://schemas.openxmlformats.org/drawingml/2006/main" prst="straightConnector1">
          <a:avLst/>
        </a:prstGeom>
        <a:ln xmlns:a="http://schemas.openxmlformats.org/drawingml/2006/main">
          <a:tailEnd type="arrow"/>
        </a:ln>
      </cdr:spPr>
      <cdr:style>
        <a:lnRef xmlns:a="http://schemas.openxmlformats.org/drawingml/2006/main" idx="3">
          <a:schemeClr val="accent2"/>
        </a:lnRef>
        <a:fillRef xmlns:a="http://schemas.openxmlformats.org/drawingml/2006/main" idx="0">
          <a:schemeClr val="accent2"/>
        </a:fillRef>
        <a:effectRef xmlns:a="http://schemas.openxmlformats.org/drawingml/2006/main" idx="2">
          <a:schemeClr val="accent2"/>
        </a:effectRef>
        <a:fontRef xmlns:a="http://schemas.openxmlformats.org/drawingml/2006/main" idx="minor">
          <a:schemeClr val="tx1"/>
        </a:fontRef>
      </cdr:style>
    </cdr:cxnSp>
  </cdr:relSizeAnchor>
  <cdr:relSizeAnchor xmlns:cdr="http://schemas.openxmlformats.org/drawingml/2006/chartDrawing">
    <cdr:from>
      <cdr:x>0.38981</cdr:x>
      <cdr:y>0.33968</cdr:y>
    </cdr:from>
    <cdr:to>
      <cdr:x>0.49167</cdr:x>
      <cdr:y>0.43016</cdr:y>
    </cdr:to>
    <cdr:sp macro="" textlink="">
      <cdr:nvSpPr>
        <cdr:cNvPr id="16" name="Прямоугольник 15"/>
        <cdr:cNvSpPr/>
      </cdr:nvSpPr>
      <cdr:spPr>
        <a:xfrm xmlns:a="http://schemas.openxmlformats.org/drawingml/2006/main">
          <a:off x="2138680" y="1087120"/>
          <a:ext cx="558800" cy="28956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0">
          <a:schemeClr val="accent2"/>
        </a:lnRef>
        <a:fillRef xmlns:a="http://schemas.openxmlformats.org/drawingml/2006/main" idx="3">
          <a:schemeClr val="accent2"/>
        </a:fillRef>
        <a:effectRef xmlns:a="http://schemas.openxmlformats.org/drawingml/2006/main" idx="3">
          <a:schemeClr val="accent2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uk-UA"/>
            <a:t>7,7%</a:t>
          </a:r>
        </a:p>
      </cdr:txBody>
    </cdr:sp>
  </cdr:relSizeAnchor>
  <cdr:relSizeAnchor xmlns:cdr="http://schemas.openxmlformats.org/drawingml/2006/chartDrawing">
    <cdr:from>
      <cdr:x>0.66852</cdr:x>
      <cdr:y>0.56032</cdr:y>
    </cdr:from>
    <cdr:to>
      <cdr:x>0.76111</cdr:x>
      <cdr:y>0.64921</cdr:y>
    </cdr:to>
    <cdr:sp macro="" textlink="">
      <cdr:nvSpPr>
        <cdr:cNvPr id="17" name="Прямоугольник 16"/>
        <cdr:cNvSpPr/>
      </cdr:nvSpPr>
      <cdr:spPr>
        <a:xfrm xmlns:a="http://schemas.openxmlformats.org/drawingml/2006/main">
          <a:off x="3667760" y="1793240"/>
          <a:ext cx="508000" cy="284480"/>
        </a:xfrm>
        <a:prstGeom xmlns:a="http://schemas.openxmlformats.org/drawingml/2006/main" prst="rect">
          <a:avLst/>
        </a:prstGeom>
      </cdr:spPr>
      <cdr:style>
        <a:lnRef xmlns:a="http://schemas.openxmlformats.org/drawingml/2006/main" idx="0">
          <a:schemeClr val="accent2"/>
        </a:lnRef>
        <a:fillRef xmlns:a="http://schemas.openxmlformats.org/drawingml/2006/main" idx="3">
          <a:schemeClr val="accent2"/>
        </a:fillRef>
        <a:effectRef xmlns:a="http://schemas.openxmlformats.org/drawingml/2006/main" idx="3">
          <a:schemeClr val="accent2"/>
        </a:effectRef>
        <a:fontRef xmlns:a="http://schemas.openxmlformats.org/drawingml/2006/main" idx="minor">
          <a:schemeClr val="lt1"/>
        </a:fontRef>
      </cdr:style>
      <cdr:txBody>
        <a:bodyPr xmlns:a="http://schemas.openxmlformats.org/drawingml/2006/main" vertOverflow="clip"/>
        <a:lstStyle xmlns:a="http://schemas.openxmlformats.org/drawingml/2006/main"/>
        <a:p xmlns:a="http://schemas.openxmlformats.org/drawingml/2006/main">
          <a:r>
            <a:rPr lang="uk-UA"/>
            <a:t>5,7%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AB74A-0745-432C-8BCA-0015AD174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</TotalTime>
  <Pages>11</Pages>
  <Words>2427</Words>
  <Characters>13837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Дарина</dc:creator>
  <cp:lastModifiedBy>User</cp:lastModifiedBy>
  <cp:revision>20</cp:revision>
  <dcterms:created xsi:type="dcterms:W3CDTF">2021-10-25T09:04:00Z</dcterms:created>
  <dcterms:modified xsi:type="dcterms:W3CDTF">2021-11-29T06:29:00Z</dcterms:modified>
</cp:coreProperties>
</file>